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504B9" w14:textId="77777777" w:rsidR="00953623" w:rsidRPr="003C1F4E" w:rsidRDefault="00BD0927" w:rsidP="003C1F4E">
      <w:pPr>
        <w:jc w:val="center"/>
        <w:rPr>
          <w:rFonts w:ascii="Arial" w:hAnsi="Arial" w:cs="Arial"/>
          <w:b/>
          <w:sz w:val="32"/>
          <w:szCs w:val="32"/>
        </w:rPr>
      </w:pPr>
      <w:r w:rsidRPr="003C1F4E">
        <w:rPr>
          <w:rFonts w:ascii="Arial" w:hAnsi="Arial" w:cs="Arial"/>
          <w:b/>
          <w:sz w:val="32"/>
          <w:szCs w:val="32"/>
        </w:rPr>
        <w:t xml:space="preserve">A </w:t>
      </w:r>
      <w:r w:rsidR="0092008C" w:rsidRPr="003C1F4E">
        <w:rPr>
          <w:rFonts w:ascii="Arial" w:hAnsi="Arial" w:cs="Arial"/>
          <w:b/>
          <w:sz w:val="32"/>
          <w:szCs w:val="32"/>
        </w:rPr>
        <w:t>Guide to the ACENZ/Engineering NZ</w:t>
      </w:r>
      <w:r w:rsidR="003C1F4E">
        <w:rPr>
          <w:rFonts w:ascii="Arial" w:hAnsi="Arial" w:cs="Arial"/>
          <w:b/>
          <w:sz w:val="32"/>
          <w:szCs w:val="32"/>
        </w:rPr>
        <w:br/>
      </w:r>
      <w:r w:rsidR="0092008C" w:rsidRPr="003C1F4E">
        <w:rPr>
          <w:rFonts w:ascii="Arial" w:hAnsi="Arial" w:cs="Arial"/>
          <w:b/>
          <w:sz w:val="32"/>
          <w:szCs w:val="32"/>
        </w:rPr>
        <w:t>Short Form</w:t>
      </w:r>
      <w:r w:rsidR="003C1F4E" w:rsidRPr="003C1F4E">
        <w:rPr>
          <w:rFonts w:ascii="Arial" w:hAnsi="Arial" w:cs="Arial"/>
          <w:b/>
          <w:sz w:val="32"/>
          <w:szCs w:val="32"/>
        </w:rPr>
        <w:t xml:space="preserve"> Agreement for Consultant Engagement</w:t>
      </w:r>
    </w:p>
    <w:p w14:paraId="61C32338" w14:textId="77777777" w:rsidR="000C60B3" w:rsidRDefault="000C60B3">
      <w:pPr>
        <w:rPr>
          <w:rFonts w:ascii="Arial" w:hAnsi="Arial" w:cs="Arial"/>
          <w:sz w:val="20"/>
          <w:szCs w:val="20"/>
        </w:rPr>
      </w:pPr>
      <w:r>
        <w:rPr>
          <w:rFonts w:ascii="Arial" w:hAnsi="Arial" w:cs="Arial"/>
          <w:sz w:val="20"/>
          <w:szCs w:val="20"/>
        </w:rPr>
        <w:t xml:space="preserve">The Short Form Agreement (SFA) had been updated in 2016 to reflect the requirements of the Health &amp; Safety at Work Act 2015 and again in 2017 to include references to the Construction Contracts Act 2002.  </w:t>
      </w:r>
    </w:p>
    <w:p w14:paraId="162AF868" w14:textId="418DC879" w:rsidR="00BD0927" w:rsidRDefault="000C60B3">
      <w:pPr>
        <w:rPr>
          <w:rFonts w:ascii="Arial" w:hAnsi="Arial" w:cs="Arial"/>
          <w:sz w:val="20"/>
          <w:szCs w:val="20"/>
        </w:rPr>
      </w:pPr>
      <w:r>
        <w:rPr>
          <w:rFonts w:ascii="Arial" w:hAnsi="Arial" w:cs="Arial"/>
          <w:sz w:val="20"/>
          <w:szCs w:val="20"/>
        </w:rPr>
        <w:t>However, i</w:t>
      </w:r>
      <w:r w:rsidR="003C1F4E">
        <w:rPr>
          <w:rFonts w:ascii="Arial" w:hAnsi="Arial" w:cs="Arial"/>
          <w:sz w:val="20"/>
          <w:szCs w:val="20"/>
        </w:rPr>
        <w:t>n 2017 ACENZ adopted the fourth edition of “Conditions of Contract for Consultancy Services” (CCCS)</w:t>
      </w:r>
      <w:r>
        <w:rPr>
          <w:rFonts w:ascii="Arial" w:hAnsi="Arial" w:cs="Arial"/>
          <w:sz w:val="20"/>
          <w:szCs w:val="20"/>
        </w:rPr>
        <w:t xml:space="preserve"> and c</w:t>
      </w:r>
      <w:r w:rsidR="003C1F4E">
        <w:rPr>
          <w:rFonts w:ascii="Arial" w:hAnsi="Arial" w:cs="Arial"/>
          <w:sz w:val="20"/>
          <w:szCs w:val="20"/>
        </w:rPr>
        <w:t>hanges incorporated in th</w:t>
      </w:r>
      <w:r>
        <w:rPr>
          <w:rFonts w:ascii="Arial" w:hAnsi="Arial" w:cs="Arial"/>
          <w:sz w:val="20"/>
          <w:szCs w:val="20"/>
        </w:rPr>
        <w:t>e</w:t>
      </w:r>
      <w:r w:rsidR="003C1F4E">
        <w:rPr>
          <w:rFonts w:ascii="Arial" w:hAnsi="Arial" w:cs="Arial"/>
          <w:sz w:val="20"/>
          <w:szCs w:val="20"/>
        </w:rPr>
        <w:t xml:space="preserve"> fourth edition meant that there were differences in wording an</w:t>
      </w:r>
      <w:r>
        <w:rPr>
          <w:rFonts w:ascii="Arial" w:hAnsi="Arial" w:cs="Arial"/>
          <w:sz w:val="20"/>
          <w:szCs w:val="20"/>
        </w:rPr>
        <w:t>d</w:t>
      </w:r>
      <w:r w:rsidR="003C1F4E">
        <w:rPr>
          <w:rFonts w:ascii="Arial" w:hAnsi="Arial" w:cs="Arial"/>
          <w:sz w:val="20"/>
          <w:szCs w:val="20"/>
        </w:rPr>
        <w:t xml:space="preserve"> intent between CCCS and the SFA.</w:t>
      </w:r>
      <w:r>
        <w:rPr>
          <w:rFonts w:ascii="Arial" w:hAnsi="Arial" w:cs="Arial"/>
          <w:sz w:val="20"/>
          <w:szCs w:val="20"/>
        </w:rPr>
        <w:t xml:space="preserve"> To address these differences, </w:t>
      </w:r>
      <w:r w:rsidR="003C1F4E">
        <w:rPr>
          <w:rFonts w:ascii="Arial" w:hAnsi="Arial" w:cs="Arial"/>
          <w:sz w:val="20"/>
          <w:szCs w:val="20"/>
        </w:rPr>
        <w:t>the SFA was amended</w:t>
      </w:r>
      <w:r w:rsidR="00086B39">
        <w:rPr>
          <w:rFonts w:ascii="Arial" w:hAnsi="Arial" w:cs="Arial"/>
          <w:sz w:val="20"/>
          <w:szCs w:val="20"/>
        </w:rPr>
        <w:t>,</w:t>
      </w:r>
      <w:r w:rsidR="003C1F4E">
        <w:rPr>
          <w:rFonts w:ascii="Arial" w:hAnsi="Arial" w:cs="Arial"/>
          <w:sz w:val="20"/>
          <w:szCs w:val="20"/>
        </w:rPr>
        <w:t xml:space="preserve"> and a</w:t>
      </w:r>
      <w:r>
        <w:rPr>
          <w:rFonts w:ascii="Arial" w:hAnsi="Arial" w:cs="Arial"/>
          <w:sz w:val="20"/>
          <w:szCs w:val="20"/>
        </w:rPr>
        <w:t>n</w:t>
      </w:r>
      <w:r w:rsidR="003C1F4E">
        <w:rPr>
          <w:rFonts w:ascii="Arial" w:hAnsi="Arial" w:cs="Arial"/>
          <w:sz w:val="20"/>
          <w:szCs w:val="20"/>
        </w:rPr>
        <w:t xml:space="preserve"> updated version was published in February 2019.</w:t>
      </w:r>
    </w:p>
    <w:p w14:paraId="09887830" w14:textId="77777777" w:rsidR="003C1F4E" w:rsidRPr="00BD0927" w:rsidRDefault="003C1F4E">
      <w:pPr>
        <w:rPr>
          <w:rFonts w:ascii="Arial" w:hAnsi="Arial" w:cs="Arial"/>
          <w:sz w:val="20"/>
          <w:szCs w:val="20"/>
        </w:rPr>
      </w:pPr>
      <w:r>
        <w:rPr>
          <w:rFonts w:ascii="Arial" w:hAnsi="Arial" w:cs="Arial"/>
          <w:sz w:val="20"/>
          <w:szCs w:val="20"/>
        </w:rPr>
        <w:t>This guide has been prepared to assist users</w:t>
      </w:r>
      <w:r w:rsidR="000C60B3">
        <w:rPr>
          <w:rFonts w:ascii="Arial" w:hAnsi="Arial" w:cs="Arial"/>
          <w:sz w:val="20"/>
          <w:szCs w:val="20"/>
        </w:rPr>
        <w:t xml:space="preserve"> of the February 2019 edition of the SFA</w:t>
      </w:r>
      <w:r>
        <w:rPr>
          <w:rFonts w:ascii="Arial" w:hAnsi="Arial" w:cs="Arial"/>
          <w:sz w:val="20"/>
          <w:szCs w:val="20"/>
        </w:rPr>
        <w:t xml:space="preserve"> in preparing agreement</w:t>
      </w:r>
      <w:r w:rsidR="000C60B3">
        <w:rPr>
          <w:rFonts w:ascii="Arial" w:hAnsi="Arial" w:cs="Arial"/>
          <w:sz w:val="20"/>
          <w:szCs w:val="20"/>
        </w:rPr>
        <w:t>s with their clients.</w:t>
      </w:r>
      <w:r>
        <w:rPr>
          <w:rFonts w:ascii="Arial" w:hAnsi="Arial" w:cs="Arial"/>
          <w:sz w:val="20"/>
          <w:szCs w:val="20"/>
        </w:rPr>
        <w:t xml:space="preserve"> </w:t>
      </w:r>
    </w:p>
    <w:tbl>
      <w:tblPr>
        <w:tblStyle w:val="TableGrid"/>
        <w:tblW w:w="9373" w:type="dxa"/>
        <w:tblLook w:val="04A0" w:firstRow="1" w:lastRow="0" w:firstColumn="1" w:lastColumn="0" w:noHBand="0" w:noVBand="1"/>
      </w:tblPr>
      <w:tblGrid>
        <w:gridCol w:w="2972"/>
        <w:gridCol w:w="6401"/>
      </w:tblGrid>
      <w:tr w:rsidR="002516F9" w14:paraId="2C1F363D" w14:textId="77777777" w:rsidTr="00850D39">
        <w:tc>
          <w:tcPr>
            <w:tcW w:w="9373" w:type="dxa"/>
            <w:gridSpan w:val="2"/>
            <w:shd w:val="clear" w:color="auto" w:fill="5B9BD5" w:themeFill="accent1"/>
          </w:tcPr>
          <w:p w14:paraId="53778B13" w14:textId="77777777" w:rsidR="002516F9" w:rsidRPr="00453D9C" w:rsidRDefault="002516F9" w:rsidP="00B72B64">
            <w:pPr>
              <w:spacing w:before="120" w:after="120"/>
              <w:ind w:right="-108"/>
              <w:rPr>
                <w:rFonts w:ascii="Arial" w:hAnsi="Arial" w:cs="Arial"/>
                <w:b/>
              </w:rPr>
            </w:pPr>
            <w:r w:rsidRPr="00850D39">
              <w:rPr>
                <w:rFonts w:ascii="Arial" w:hAnsi="Arial" w:cs="Arial"/>
                <w:b/>
                <w:color w:val="FFFFFF" w:themeColor="background1"/>
              </w:rPr>
              <w:t>Front Page – Agreement Particulars</w:t>
            </w:r>
          </w:p>
        </w:tc>
      </w:tr>
      <w:tr w:rsidR="002516F9" w14:paraId="3F22707A" w14:textId="77777777" w:rsidTr="00ED72A3">
        <w:tc>
          <w:tcPr>
            <w:tcW w:w="2972" w:type="dxa"/>
          </w:tcPr>
          <w:p w14:paraId="44708FF0" w14:textId="77777777" w:rsidR="002516F9" w:rsidRPr="00EF790C" w:rsidRDefault="002516F9" w:rsidP="00EF790C">
            <w:pPr>
              <w:spacing w:before="120" w:after="120"/>
              <w:ind w:right="-958"/>
              <w:rPr>
                <w:rFonts w:ascii="Arial" w:hAnsi="Arial" w:cs="Arial"/>
                <w:b/>
                <w:sz w:val="20"/>
                <w:szCs w:val="20"/>
              </w:rPr>
            </w:pPr>
            <w:r w:rsidRPr="00EF790C">
              <w:rPr>
                <w:rFonts w:ascii="Arial" w:hAnsi="Arial" w:cs="Arial"/>
                <w:b/>
                <w:sz w:val="20"/>
                <w:szCs w:val="20"/>
              </w:rPr>
              <w:t>Item</w:t>
            </w:r>
          </w:p>
        </w:tc>
        <w:tc>
          <w:tcPr>
            <w:tcW w:w="6401" w:type="dxa"/>
          </w:tcPr>
          <w:p w14:paraId="2D4EB27F" w14:textId="77777777" w:rsidR="002516F9" w:rsidRPr="00EF790C" w:rsidRDefault="002516F9" w:rsidP="00EF790C">
            <w:pPr>
              <w:spacing w:before="120" w:after="120"/>
              <w:ind w:right="-958"/>
              <w:rPr>
                <w:rFonts w:ascii="Arial" w:hAnsi="Arial" w:cs="Arial"/>
                <w:b/>
                <w:sz w:val="20"/>
                <w:szCs w:val="20"/>
              </w:rPr>
            </w:pPr>
            <w:r w:rsidRPr="00EF790C">
              <w:rPr>
                <w:rFonts w:ascii="Arial" w:hAnsi="Arial" w:cs="Arial"/>
                <w:b/>
                <w:sz w:val="20"/>
                <w:szCs w:val="20"/>
              </w:rPr>
              <w:t>Guidance</w:t>
            </w:r>
          </w:p>
        </w:tc>
      </w:tr>
      <w:tr w:rsidR="002516F9" w14:paraId="6BDC4D11" w14:textId="77777777" w:rsidTr="00850D39">
        <w:tc>
          <w:tcPr>
            <w:tcW w:w="2972" w:type="dxa"/>
            <w:shd w:val="clear" w:color="auto" w:fill="BDD6EE" w:themeFill="accent1" w:themeFillTint="66"/>
          </w:tcPr>
          <w:p w14:paraId="2741D6F5" w14:textId="77777777" w:rsidR="002516F9" w:rsidRPr="00145193" w:rsidRDefault="00D0358D" w:rsidP="002516F9">
            <w:pPr>
              <w:spacing w:before="60" w:after="60"/>
              <w:ind w:right="34"/>
              <w:rPr>
                <w:rFonts w:ascii="Arial" w:hAnsi="Arial" w:cs="Arial"/>
                <w:sz w:val="20"/>
                <w:szCs w:val="20"/>
              </w:rPr>
            </w:pPr>
            <w:r w:rsidRPr="005B2EE3">
              <w:rPr>
                <w:rFonts w:ascii="Arial" w:hAnsi="Arial" w:cs="Arial"/>
                <w:sz w:val="20"/>
                <w:szCs w:val="20"/>
              </w:rPr>
              <w:t>(</w:t>
            </w:r>
            <w:r w:rsidR="00515B78" w:rsidRPr="005B2EE3">
              <w:rPr>
                <w:rFonts w:ascii="Arial" w:hAnsi="Arial" w:cs="Arial"/>
                <w:sz w:val="20"/>
                <w:szCs w:val="20"/>
              </w:rPr>
              <w:t>Client</w:t>
            </w:r>
            <w:r w:rsidRPr="005B2EE3">
              <w:rPr>
                <w:rFonts w:ascii="Arial" w:hAnsi="Arial" w:cs="Arial"/>
                <w:sz w:val="20"/>
                <w:szCs w:val="20"/>
              </w:rPr>
              <w:t>)</w:t>
            </w:r>
          </w:p>
        </w:tc>
        <w:tc>
          <w:tcPr>
            <w:tcW w:w="6401" w:type="dxa"/>
            <w:shd w:val="clear" w:color="auto" w:fill="BDD6EE" w:themeFill="accent1" w:themeFillTint="66"/>
          </w:tcPr>
          <w:p w14:paraId="23E0384B" w14:textId="77777777" w:rsidR="002516F9" w:rsidRPr="002516F9" w:rsidRDefault="002516F9" w:rsidP="002516F9">
            <w:pPr>
              <w:spacing w:before="60" w:after="60"/>
              <w:ind w:right="176"/>
              <w:rPr>
                <w:rFonts w:ascii="Arial" w:hAnsi="Arial" w:cs="Arial"/>
                <w:sz w:val="20"/>
                <w:szCs w:val="20"/>
              </w:rPr>
            </w:pPr>
            <w:r w:rsidRPr="002516F9">
              <w:rPr>
                <w:rFonts w:ascii="Arial" w:hAnsi="Arial" w:cs="Arial"/>
                <w:sz w:val="20"/>
                <w:szCs w:val="20"/>
              </w:rPr>
              <w:t>Enter the full legal name of the Client. You may also include the company number for added certainty</w:t>
            </w:r>
            <w:r w:rsidR="00B72B64">
              <w:rPr>
                <w:rFonts w:ascii="Arial" w:hAnsi="Arial" w:cs="Arial"/>
                <w:sz w:val="20"/>
                <w:szCs w:val="20"/>
              </w:rPr>
              <w:t xml:space="preserve"> of the legal entity with which you are contracting, some companies have </w:t>
            </w:r>
            <w:proofErr w:type="gramStart"/>
            <w:r w:rsidR="00B72B64">
              <w:rPr>
                <w:rFonts w:ascii="Arial" w:hAnsi="Arial" w:cs="Arial"/>
                <w:sz w:val="20"/>
                <w:szCs w:val="20"/>
              </w:rPr>
              <w:t>a number of</w:t>
            </w:r>
            <w:proofErr w:type="gramEnd"/>
            <w:r w:rsidR="00B72B64">
              <w:rPr>
                <w:rFonts w:ascii="Arial" w:hAnsi="Arial" w:cs="Arial"/>
                <w:sz w:val="20"/>
                <w:szCs w:val="20"/>
              </w:rPr>
              <w:t xml:space="preserve"> different, but similar, names.</w:t>
            </w:r>
          </w:p>
        </w:tc>
      </w:tr>
      <w:tr w:rsidR="002516F9" w14:paraId="66105B0C" w14:textId="77777777" w:rsidTr="00ED72A3">
        <w:tc>
          <w:tcPr>
            <w:tcW w:w="2972" w:type="dxa"/>
          </w:tcPr>
          <w:p w14:paraId="7D856B60" w14:textId="77777777" w:rsidR="002516F9" w:rsidRPr="002516F9" w:rsidRDefault="00D0358D" w:rsidP="002516F9">
            <w:pPr>
              <w:spacing w:before="60" w:after="60"/>
              <w:ind w:right="34"/>
              <w:rPr>
                <w:rFonts w:ascii="Arial" w:hAnsi="Arial" w:cs="Arial"/>
                <w:sz w:val="20"/>
                <w:szCs w:val="20"/>
              </w:rPr>
            </w:pPr>
            <w:r>
              <w:rPr>
                <w:rFonts w:ascii="Arial" w:hAnsi="Arial" w:cs="Arial"/>
                <w:sz w:val="20"/>
                <w:szCs w:val="20"/>
              </w:rPr>
              <w:t>(Consultant)</w:t>
            </w:r>
          </w:p>
        </w:tc>
        <w:tc>
          <w:tcPr>
            <w:tcW w:w="6401" w:type="dxa"/>
          </w:tcPr>
          <w:p w14:paraId="027538CA" w14:textId="77777777" w:rsidR="002516F9" w:rsidRPr="002516F9" w:rsidRDefault="002516F9" w:rsidP="002516F9">
            <w:pPr>
              <w:spacing w:before="60" w:after="60"/>
              <w:ind w:right="176"/>
              <w:rPr>
                <w:rFonts w:ascii="Arial" w:hAnsi="Arial" w:cs="Arial"/>
                <w:sz w:val="20"/>
                <w:szCs w:val="20"/>
              </w:rPr>
            </w:pPr>
            <w:r w:rsidRPr="002516F9">
              <w:rPr>
                <w:rFonts w:ascii="Arial" w:hAnsi="Arial" w:cs="Arial"/>
                <w:sz w:val="20"/>
                <w:szCs w:val="20"/>
              </w:rPr>
              <w:t xml:space="preserve">Enter the full </w:t>
            </w:r>
            <w:r>
              <w:rPr>
                <w:rFonts w:ascii="Arial" w:hAnsi="Arial" w:cs="Arial"/>
                <w:sz w:val="20"/>
                <w:szCs w:val="20"/>
              </w:rPr>
              <w:t>legal name of your organisation</w:t>
            </w:r>
          </w:p>
        </w:tc>
      </w:tr>
      <w:tr w:rsidR="002516F9" w14:paraId="4CFBC3C5" w14:textId="77777777" w:rsidTr="00850D39">
        <w:tc>
          <w:tcPr>
            <w:tcW w:w="2972" w:type="dxa"/>
            <w:shd w:val="clear" w:color="auto" w:fill="BDD6EE" w:themeFill="accent1" w:themeFillTint="66"/>
          </w:tcPr>
          <w:p w14:paraId="1C81C803" w14:textId="77777777" w:rsidR="002516F9" w:rsidRPr="002516F9" w:rsidRDefault="002516F9" w:rsidP="002516F9">
            <w:pPr>
              <w:spacing w:before="60" w:after="60"/>
              <w:ind w:right="34"/>
              <w:rPr>
                <w:rFonts w:ascii="Arial" w:hAnsi="Arial" w:cs="Arial"/>
                <w:sz w:val="20"/>
                <w:szCs w:val="20"/>
              </w:rPr>
            </w:pPr>
            <w:r>
              <w:rPr>
                <w:rFonts w:ascii="Arial" w:hAnsi="Arial" w:cs="Arial"/>
                <w:sz w:val="20"/>
                <w:szCs w:val="20"/>
              </w:rPr>
              <w:t>Project</w:t>
            </w:r>
          </w:p>
        </w:tc>
        <w:tc>
          <w:tcPr>
            <w:tcW w:w="6401" w:type="dxa"/>
            <w:shd w:val="clear" w:color="auto" w:fill="BDD6EE" w:themeFill="accent1" w:themeFillTint="66"/>
          </w:tcPr>
          <w:p w14:paraId="39E2CDBE" w14:textId="77777777" w:rsidR="002516F9" w:rsidRPr="002516F9" w:rsidRDefault="00D0358D" w:rsidP="002516F9">
            <w:pPr>
              <w:spacing w:before="60" w:after="60"/>
              <w:ind w:right="176"/>
              <w:rPr>
                <w:rFonts w:ascii="Arial" w:hAnsi="Arial" w:cs="Arial"/>
                <w:sz w:val="20"/>
                <w:szCs w:val="20"/>
              </w:rPr>
            </w:pPr>
            <w:r>
              <w:rPr>
                <w:rFonts w:ascii="Arial" w:hAnsi="Arial" w:cs="Arial"/>
                <w:sz w:val="20"/>
                <w:szCs w:val="20"/>
              </w:rPr>
              <w:t>Enter</w:t>
            </w:r>
            <w:r w:rsidR="002516F9">
              <w:rPr>
                <w:rFonts w:ascii="Arial" w:hAnsi="Arial" w:cs="Arial"/>
                <w:sz w:val="20"/>
                <w:szCs w:val="20"/>
              </w:rPr>
              <w:t xml:space="preserve"> the name of the Client’s project</w:t>
            </w:r>
          </w:p>
        </w:tc>
      </w:tr>
      <w:tr w:rsidR="002516F9" w14:paraId="0D520919" w14:textId="77777777" w:rsidTr="00ED72A3">
        <w:tc>
          <w:tcPr>
            <w:tcW w:w="2972" w:type="dxa"/>
          </w:tcPr>
          <w:p w14:paraId="71923CEC" w14:textId="77777777" w:rsidR="002516F9" w:rsidRPr="002516F9" w:rsidRDefault="002516F9" w:rsidP="002516F9">
            <w:pPr>
              <w:spacing w:before="60" w:after="60"/>
              <w:ind w:right="34"/>
              <w:rPr>
                <w:rFonts w:ascii="Arial" w:hAnsi="Arial" w:cs="Arial"/>
                <w:sz w:val="20"/>
                <w:szCs w:val="20"/>
              </w:rPr>
            </w:pPr>
            <w:r>
              <w:rPr>
                <w:rFonts w:ascii="Arial" w:hAnsi="Arial" w:cs="Arial"/>
                <w:sz w:val="20"/>
                <w:szCs w:val="20"/>
              </w:rPr>
              <w:t>Scope &amp; nature of the Services</w:t>
            </w:r>
          </w:p>
        </w:tc>
        <w:tc>
          <w:tcPr>
            <w:tcW w:w="6401" w:type="dxa"/>
          </w:tcPr>
          <w:p w14:paraId="12381A34" w14:textId="77777777" w:rsidR="002516F9" w:rsidRPr="002516F9" w:rsidRDefault="002516F9" w:rsidP="002516F9">
            <w:pPr>
              <w:spacing w:before="60" w:after="60"/>
              <w:ind w:right="176"/>
              <w:rPr>
                <w:rFonts w:ascii="Arial" w:hAnsi="Arial" w:cs="Arial"/>
                <w:sz w:val="20"/>
                <w:szCs w:val="20"/>
              </w:rPr>
            </w:pPr>
            <w:r w:rsidRPr="002516F9">
              <w:rPr>
                <w:rFonts w:ascii="Arial" w:hAnsi="Arial" w:cs="Arial"/>
                <w:sz w:val="20"/>
                <w:szCs w:val="20"/>
              </w:rPr>
              <w:t>Provide as much information as you can</w:t>
            </w:r>
            <w:r w:rsidR="00D0358D">
              <w:rPr>
                <w:rFonts w:ascii="Arial" w:hAnsi="Arial" w:cs="Arial"/>
                <w:sz w:val="20"/>
                <w:szCs w:val="20"/>
              </w:rPr>
              <w:t xml:space="preserve"> about what you will be doing</w:t>
            </w:r>
            <w:r w:rsidRPr="002516F9">
              <w:rPr>
                <w:rFonts w:ascii="Arial" w:hAnsi="Arial" w:cs="Arial"/>
                <w:sz w:val="20"/>
                <w:szCs w:val="20"/>
              </w:rPr>
              <w:t>. Refer to and attach your proposal if appropriate or the Client’s request for proposal (</w:t>
            </w:r>
            <w:proofErr w:type="spellStart"/>
            <w:r w:rsidRPr="002516F9">
              <w:rPr>
                <w:rFonts w:ascii="Arial" w:hAnsi="Arial" w:cs="Arial"/>
                <w:sz w:val="20"/>
                <w:szCs w:val="20"/>
              </w:rPr>
              <w:t>RfP</w:t>
            </w:r>
            <w:proofErr w:type="spellEnd"/>
            <w:r w:rsidRPr="002516F9">
              <w:rPr>
                <w:rFonts w:ascii="Arial" w:hAnsi="Arial" w:cs="Arial"/>
                <w:sz w:val="20"/>
                <w:szCs w:val="20"/>
              </w:rPr>
              <w:t>)</w:t>
            </w:r>
            <w:r w:rsidR="00532CE3">
              <w:rPr>
                <w:rFonts w:ascii="Arial" w:hAnsi="Arial" w:cs="Arial"/>
                <w:sz w:val="20"/>
                <w:szCs w:val="20"/>
              </w:rPr>
              <w:t xml:space="preserve"> plus any subsequent correspondence.</w:t>
            </w:r>
            <w:r w:rsidR="00D0358D">
              <w:rPr>
                <w:rFonts w:ascii="Arial" w:hAnsi="Arial" w:cs="Arial"/>
                <w:sz w:val="20"/>
                <w:szCs w:val="20"/>
              </w:rPr>
              <w:t xml:space="preserve"> Exclusions and assumptions can be noted for clarification.</w:t>
            </w:r>
          </w:p>
        </w:tc>
      </w:tr>
      <w:tr w:rsidR="002516F9" w14:paraId="6269C059" w14:textId="77777777" w:rsidTr="00850D39">
        <w:tc>
          <w:tcPr>
            <w:tcW w:w="2972" w:type="dxa"/>
            <w:shd w:val="clear" w:color="auto" w:fill="BDD6EE" w:themeFill="accent1" w:themeFillTint="66"/>
          </w:tcPr>
          <w:p w14:paraId="1F33AD25" w14:textId="77777777" w:rsidR="002516F9" w:rsidRPr="002516F9" w:rsidRDefault="002516F9" w:rsidP="002516F9">
            <w:pPr>
              <w:spacing w:before="60" w:after="60"/>
              <w:ind w:right="34"/>
              <w:rPr>
                <w:rFonts w:ascii="Arial" w:hAnsi="Arial" w:cs="Arial"/>
                <w:sz w:val="20"/>
                <w:szCs w:val="20"/>
              </w:rPr>
            </w:pPr>
            <w:r w:rsidRPr="002516F9">
              <w:rPr>
                <w:rFonts w:ascii="Arial" w:hAnsi="Arial" w:cs="Arial"/>
                <w:sz w:val="20"/>
                <w:szCs w:val="20"/>
              </w:rPr>
              <w:t>Programme for the Services</w:t>
            </w:r>
          </w:p>
        </w:tc>
        <w:tc>
          <w:tcPr>
            <w:tcW w:w="6401" w:type="dxa"/>
            <w:shd w:val="clear" w:color="auto" w:fill="BDD6EE" w:themeFill="accent1" w:themeFillTint="66"/>
          </w:tcPr>
          <w:p w14:paraId="1C862C9A" w14:textId="77777777" w:rsidR="002516F9" w:rsidRPr="002516F9" w:rsidRDefault="002516F9" w:rsidP="002516F9">
            <w:pPr>
              <w:spacing w:before="60" w:after="60"/>
              <w:ind w:right="176"/>
              <w:rPr>
                <w:rFonts w:ascii="Arial" w:hAnsi="Arial" w:cs="Arial"/>
                <w:sz w:val="20"/>
                <w:szCs w:val="20"/>
              </w:rPr>
            </w:pPr>
            <w:r>
              <w:rPr>
                <w:rFonts w:ascii="Arial" w:hAnsi="Arial" w:cs="Arial"/>
                <w:sz w:val="20"/>
                <w:szCs w:val="20"/>
              </w:rPr>
              <w:t>P</w:t>
            </w:r>
            <w:r w:rsidRPr="002516F9">
              <w:rPr>
                <w:rFonts w:ascii="Arial" w:hAnsi="Arial" w:cs="Arial"/>
                <w:sz w:val="20"/>
                <w:szCs w:val="20"/>
              </w:rPr>
              <w:t>rovide a programme appropriate for the scope of Services, e.g. a simple spreadsheet for a simple project, or a Gantt chart for a more complex project</w:t>
            </w:r>
            <w:r>
              <w:rPr>
                <w:rFonts w:ascii="Arial" w:hAnsi="Arial" w:cs="Arial"/>
                <w:sz w:val="20"/>
                <w:szCs w:val="20"/>
              </w:rPr>
              <w:t>.</w:t>
            </w:r>
            <w:r w:rsidR="00532CE3">
              <w:rPr>
                <w:rFonts w:ascii="Arial" w:hAnsi="Arial" w:cs="Arial"/>
                <w:sz w:val="20"/>
                <w:szCs w:val="20"/>
              </w:rPr>
              <w:t xml:space="preserve"> Include any items that require input from the Client, i.e. provision of information, approvals etc. </w:t>
            </w:r>
          </w:p>
        </w:tc>
      </w:tr>
      <w:tr w:rsidR="002516F9" w14:paraId="7DB59465" w14:textId="77777777" w:rsidTr="00ED72A3">
        <w:tc>
          <w:tcPr>
            <w:tcW w:w="2972" w:type="dxa"/>
          </w:tcPr>
          <w:p w14:paraId="0E04FD36" w14:textId="77777777" w:rsidR="002516F9" w:rsidRPr="002516F9" w:rsidRDefault="002516F9" w:rsidP="002516F9">
            <w:pPr>
              <w:spacing w:before="60" w:after="60"/>
              <w:ind w:right="34"/>
              <w:rPr>
                <w:rFonts w:ascii="Arial" w:hAnsi="Arial" w:cs="Arial"/>
                <w:sz w:val="20"/>
                <w:szCs w:val="20"/>
              </w:rPr>
            </w:pPr>
            <w:r w:rsidRPr="002516F9">
              <w:rPr>
                <w:rFonts w:ascii="Arial" w:hAnsi="Arial" w:cs="Arial"/>
                <w:sz w:val="20"/>
                <w:szCs w:val="20"/>
              </w:rPr>
              <w:t>Fees &amp; timing of payments</w:t>
            </w:r>
          </w:p>
        </w:tc>
        <w:tc>
          <w:tcPr>
            <w:tcW w:w="6401" w:type="dxa"/>
          </w:tcPr>
          <w:p w14:paraId="7072C327" w14:textId="2B112805" w:rsidR="002516F9" w:rsidRDefault="002516F9" w:rsidP="002516F9">
            <w:pPr>
              <w:spacing w:before="60" w:after="60"/>
              <w:ind w:right="176"/>
              <w:rPr>
                <w:rFonts w:ascii="Arial" w:hAnsi="Arial" w:cs="Arial"/>
                <w:sz w:val="20"/>
                <w:szCs w:val="20"/>
              </w:rPr>
            </w:pPr>
            <w:r w:rsidRPr="002516F9">
              <w:rPr>
                <w:rFonts w:ascii="Arial" w:hAnsi="Arial" w:cs="Arial"/>
                <w:sz w:val="20"/>
                <w:szCs w:val="20"/>
              </w:rPr>
              <w:t>Include the fee arrangements, e.g. time and expenses, lump sum, milestone, and when payment is due if other than the default (refer clause 8 overleaf).</w:t>
            </w:r>
          </w:p>
        </w:tc>
      </w:tr>
      <w:tr w:rsidR="002516F9" w14:paraId="0601613A" w14:textId="77777777" w:rsidTr="00850D39">
        <w:tc>
          <w:tcPr>
            <w:tcW w:w="2972" w:type="dxa"/>
            <w:shd w:val="clear" w:color="auto" w:fill="BDD6EE" w:themeFill="accent1" w:themeFillTint="66"/>
          </w:tcPr>
          <w:p w14:paraId="3A0ACFD1" w14:textId="77777777" w:rsidR="002516F9" w:rsidRPr="002516F9" w:rsidRDefault="002516F9" w:rsidP="002516F9">
            <w:pPr>
              <w:spacing w:before="60" w:after="60"/>
              <w:ind w:right="34"/>
              <w:rPr>
                <w:rFonts w:ascii="Arial" w:hAnsi="Arial" w:cs="Arial"/>
                <w:sz w:val="20"/>
                <w:szCs w:val="20"/>
              </w:rPr>
            </w:pPr>
            <w:r>
              <w:rPr>
                <w:rFonts w:ascii="Arial" w:hAnsi="Arial" w:cs="Arial"/>
                <w:sz w:val="20"/>
                <w:szCs w:val="20"/>
              </w:rPr>
              <w:t>Information or services to be provided by the Client</w:t>
            </w:r>
          </w:p>
        </w:tc>
        <w:tc>
          <w:tcPr>
            <w:tcW w:w="6401" w:type="dxa"/>
            <w:shd w:val="clear" w:color="auto" w:fill="BDD6EE" w:themeFill="accent1" w:themeFillTint="66"/>
          </w:tcPr>
          <w:p w14:paraId="4BD358C5" w14:textId="77777777" w:rsidR="002516F9" w:rsidRPr="002516F9" w:rsidRDefault="002516F9" w:rsidP="002516F9">
            <w:pPr>
              <w:spacing w:before="60" w:after="60"/>
              <w:ind w:right="176"/>
              <w:rPr>
                <w:rFonts w:ascii="Arial" w:hAnsi="Arial" w:cs="Arial"/>
                <w:sz w:val="20"/>
                <w:szCs w:val="20"/>
              </w:rPr>
            </w:pPr>
            <w:r>
              <w:rPr>
                <w:rFonts w:ascii="Arial" w:hAnsi="Arial" w:cs="Arial"/>
                <w:sz w:val="20"/>
                <w:szCs w:val="20"/>
              </w:rPr>
              <w:t>List here the information</w:t>
            </w:r>
            <w:r w:rsidR="00D0358D">
              <w:rPr>
                <w:rFonts w:ascii="Arial" w:hAnsi="Arial" w:cs="Arial"/>
                <w:sz w:val="20"/>
                <w:szCs w:val="20"/>
              </w:rPr>
              <w:t xml:space="preserve"> and/or services</w:t>
            </w:r>
            <w:r>
              <w:rPr>
                <w:rFonts w:ascii="Arial" w:hAnsi="Arial" w:cs="Arial"/>
                <w:sz w:val="20"/>
                <w:szCs w:val="20"/>
              </w:rPr>
              <w:t xml:space="preserve"> the Client needs to provide in order that you can perform the Services, e.g. “information” may include a plan and legal description of the site, results of a geotechnical investigation, “services” may include the work of another consultant. </w:t>
            </w:r>
          </w:p>
        </w:tc>
      </w:tr>
      <w:tr w:rsidR="002516F9" w14:paraId="1B423B32" w14:textId="77777777" w:rsidTr="00ED72A3">
        <w:tc>
          <w:tcPr>
            <w:tcW w:w="2972" w:type="dxa"/>
          </w:tcPr>
          <w:p w14:paraId="7DFB9182" w14:textId="77777777" w:rsidR="002516F9" w:rsidRPr="002516F9" w:rsidRDefault="002516F9" w:rsidP="002516F9">
            <w:pPr>
              <w:spacing w:before="60" w:after="60"/>
              <w:ind w:right="34"/>
              <w:rPr>
                <w:rFonts w:ascii="Arial" w:hAnsi="Arial" w:cs="Arial"/>
                <w:i/>
                <w:sz w:val="20"/>
                <w:szCs w:val="20"/>
              </w:rPr>
            </w:pPr>
            <w:r w:rsidRPr="002516F9">
              <w:rPr>
                <w:rStyle w:val="Emphasis"/>
                <w:rFonts w:ascii="Arial" w:hAnsi="Arial" w:cs="Arial"/>
                <w:i w:val="0"/>
                <w:sz w:val="20"/>
                <w:szCs w:val="20"/>
              </w:rPr>
              <w:t>Variations to the Short Form Model Conditions of Engagement</w:t>
            </w:r>
          </w:p>
        </w:tc>
        <w:tc>
          <w:tcPr>
            <w:tcW w:w="6401" w:type="dxa"/>
          </w:tcPr>
          <w:p w14:paraId="370A2535" w14:textId="6327F893" w:rsidR="002516F9" w:rsidRDefault="002516F9" w:rsidP="002516F9">
            <w:pPr>
              <w:spacing w:before="60" w:after="60"/>
              <w:ind w:right="176"/>
              <w:rPr>
                <w:rFonts w:ascii="Arial" w:hAnsi="Arial" w:cs="Arial"/>
                <w:sz w:val="20"/>
                <w:szCs w:val="20"/>
              </w:rPr>
            </w:pPr>
            <w:r>
              <w:rPr>
                <w:rFonts w:ascii="Arial" w:hAnsi="Arial" w:cs="Arial"/>
                <w:sz w:val="20"/>
                <w:szCs w:val="20"/>
              </w:rPr>
              <w:t xml:space="preserve">List here any </w:t>
            </w:r>
            <w:r w:rsidR="00145193">
              <w:rPr>
                <w:rFonts w:ascii="Arial" w:hAnsi="Arial" w:cs="Arial"/>
                <w:sz w:val="20"/>
                <w:szCs w:val="20"/>
              </w:rPr>
              <w:t xml:space="preserve">amendments </w:t>
            </w:r>
            <w:r w:rsidR="00D0358D">
              <w:rPr>
                <w:rFonts w:ascii="Arial" w:hAnsi="Arial" w:cs="Arial"/>
                <w:sz w:val="20"/>
                <w:szCs w:val="20"/>
              </w:rPr>
              <w:t>to the Short Form Model Conditions of Engagement</w:t>
            </w:r>
            <w:r w:rsidR="00145193">
              <w:rPr>
                <w:rFonts w:ascii="Arial" w:hAnsi="Arial" w:cs="Arial"/>
                <w:sz w:val="20"/>
                <w:szCs w:val="20"/>
              </w:rPr>
              <w:t xml:space="preserve"> (overleaf)</w:t>
            </w:r>
            <w:r>
              <w:rPr>
                <w:rFonts w:ascii="Arial" w:hAnsi="Arial" w:cs="Arial"/>
                <w:sz w:val="20"/>
                <w:szCs w:val="20"/>
              </w:rPr>
              <w:t xml:space="preserve"> that have been agreed with the Client, e.g. this may include a requirement to comply with a Client’s policies, or specific health &amp; safety </w:t>
            </w:r>
            <w:r w:rsidR="00D0358D">
              <w:rPr>
                <w:rFonts w:ascii="Arial" w:hAnsi="Arial" w:cs="Arial"/>
                <w:sz w:val="20"/>
                <w:szCs w:val="20"/>
              </w:rPr>
              <w:t>procedures</w:t>
            </w:r>
            <w:r>
              <w:rPr>
                <w:rFonts w:ascii="Arial" w:hAnsi="Arial" w:cs="Arial"/>
                <w:sz w:val="20"/>
                <w:szCs w:val="20"/>
              </w:rPr>
              <w:t>. Some clients will want to solely own New Intellectual Property (refer clause 16 overleaf</w:t>
            </w:r>
            <w:r w:rsidR="00145193">
              <w:rPr>
                <w:rFonts w:ascii="Arial" w:hAnsi="Arial" w:cs="Arial"/>
                <w:sz w:val="20"/>
                <w:szCs w:val="20"/>
              </w:rPr>
              <w:t>, which provides</w:t>
            </w:r>
            <w:r>
              <w:rPr>
                <w:rFonts w:ascii="Arial" w:hAnsi="Arial" w:cs="Arial"/>
                <w:sz w:val="20"/>
                <w:szCs w:val="20"/>
              </w:rPr>
              <w:t xml:space="preserve"> for the default option of joint ownership). This should be resisted as intellectual property is what a consultant has to offer and “giving it away” could hinder</w:t>
            </w:r>
            <w:r w:rsidR="00145193">
              <w:rPr>
                <w:rFonts w:ascii="Arial" w:hAnsi="Arial" w:cs="Arial"/>
                <w:sz w:val="20"/>
                <w:szCs w:val="20"/>
              </w:rPr>
              <w:t xml:space="preserve"> its ability to use such intellectual property in</w:t>
            </w:r>
            <w:r>
              <w:rPr>
                <w:rFonts w:ascii="Arial" w:hAnsi="Arial" w:cs="Arial"/>
                <w:sz w:val="20"/>
                <w:szCs w:val="20"/>
              </w:rPr>
              <w:t xml:space="preserve"> future work. However, each case should be considered on its merits.</w:t>
            </w:r>
          </w:p>
        </w:tc>
      </w:tr>
    </w:tbl>
    <w:p w14:paraId="56E5B7F1" w14:textId="3AA44182" w:rsidR="00D532C2" w:rsidRDefault="00D532C2">
      <w:pPr>
        <w:rPr>
          <w:b/>
        </w:rPr>
      </w:pPr>
    </w:p>
    <w:p w14:paraId="4A71DDAF" w14:textId="77777777" w:rsidR="00AE3A29" w:rsidRDefault="00AE3A29">
      <w:pPr>
        <w:rPr>
          <w:b/>
        </w:rPr>
      </w:pPr>
      <w:bookmarkStart w:id="0" w:name="_GoBack"/>
      <w:bookmarkEnd w:id="0"/>
    </w:p>
    <w:tbl>
      <w:tblPr>
        <w:tblStyle w:val="TableGrid"/>
        <w:tblW w:w="9493" w:type="dxa"/>
        <w:tblLook w:val="04A0" w:firstRow="1" w:lastRow="0" w:firstColumn="1" w:lastColumn="0" w:noHBand="0" w:noVBand="1"/>
      </w:tblPr>
      <w:tblGrid>
        <w:gridCol w:w="872"/>
        <w:gridCol w:w="8621"/>
      </w:tblGrid>
      <w:tr w:rsidR="00453D9C" w14:paraId="070AEDDE" w14:textId="77777777" w:rsidTr="00850D39">
        <w:tc>
          <w:tcPr>
            <w:tcW w:w="9493" w:type="dxa"/>
            <w:gridSpan w:val="2"/>
            <w:shd w:val="clear" w:color="auto" w:fill="5B9BD5" w:themeFill="accent1"/>
          </w:tcPr>
          <w:p w14:paraId="1D9F65A3" w14:textId="77D17C8E" w:rsidR="00453D9C" w:rsidRPr="00453D9C" w:rsidRDefault="00D532C2" w:rsidP="00453D9C">
            <w:pPr>
              <w:spacing w:before="120" w:after="120"/>
              <w:rPr>
                <w:rFonts w:ascii="Arial" w:hAnsi="Arial" w:cs="Arial"/>
                <w:b/>
                <w:sz w:val="20"/>
                <w:szCs w:val="20"/>
              </w:rPr>
            </w:pPr>
            <w:r>
              <w:rPr>
                <w:b/>
              </w:rPr>
              <w:lastRenderedPageBreak/>
              <w:br w:type="page"/>
            </w:r>
            <w:r w:rsidR="00453D9C" w:rsidRPr="00850D39">
              <w:rPr>
                <w:rFonts w:ascii="Arial" w:hAnsi="Arial" w:cs="Arial"/>
                <w:b/>
                <w:color w:val="FFFFFF" w:themeColor="background1"/>
                <w:sz w:val="20"/>
                <w:szCs w:val="20"/>
              </w:rPr>
              <w:t>Back Page – Model Conditions of Engagement</w:t>
            </w:r>
          </w:p>
        </w:tc>
      </w:tr>
      <w:tr w:rsidR="00453D9C" w14:paraId="662E684C" w14:textId="77777777" w:rsidTr="00D532C2">
        <w:trPr>
          <w:cantSplit/>
        </w:trPr>
        <w:tc>
          <w:tcPr>
            <w:tcW w:w="872" w:type="dxa"/>
          </w:tcPr>
          <w:p w14:paraId="49541459" w14:textId="77777777" w:rsidR="00453D9C" w:rsidRPr="00EF790C" w:rsidRDefault="00453D9C" w:rsidP="00EF790C">
            <w:pPr>
              <w:spacing w:before="120" w:after="120"/>
              <w:rPr>
                <w:rFonts w:ascii="Arial" w:hAnsi="Arial" w:cs="Arial"/>
                <w:b/>
                <w:sz w:val="20"/>
                <w:szCs w:val="20"/>
              </w:rPr>
            </w:pPr>
            <w:r w:rsidRPr="00EF790C">
              <w:rPr>
                <w:rFonts w:ascii="Arial" w:hAnsi="Arial" w:cs="Arial"/>
                <w:b/>
                <w:sz w:val="20"/>
                <w:szCs w:val="20"/>
              </w:rPr>
              <w:t>Clause</w:t>
            </w:r>
          </w:p>
        </w:tc>
        <w:tc>
          <w:tcPr>
            <w:tcW w:w="8621" w:type="dxa"/>
          </w:tcPr>
          <w:p w14:paraId="399D64BD" w14:textId="77777777" w:rsidR="00453D9C" w:rsidRPr="00EF790C" w:rsidRDefault="00453D9C" w:rsidP="00EF790C">
            <w:pPr>
              <w:spacing w:before="120" w:after="120"/>
              <w:rPr>
                <w:rFonts w:ascii="Arial" w:hAnsi="Arial" w:cs="Arial"/>
                <w:b/>
                <w:sz w:val="20"/>
                <w:szCs w:val="20"/>
              </w:rPr>
            </w:pPr>
            <w:r w:rsidRPr="00EF790C">
              <w:rPr>
                <w:rFonts w:ascii="Arial" w:hAnsi="Arial" w:cs="Arial"/>
                <w:b/>
                <w:sz w:val="20"/>
                <w:szCs w:val="20"/>
              </w:rPr>
              <w:t>Guidance</w:t>
            </w:r>
          </w:p>
        </w:tc>
      </w:tr>
      <w:tr w:rsidR="00453D9C" w14:paraId="69B08C9B" w14:textId="77777777" w:rsidTr="00850D39">
        <w:tc>
          <w:tcPr>
            <w:tcW w:w="872" w:type="dxa"/>
            <w:shd w:val="clear" w:color="auto" w:fill="BDD6EE" w:themeFill="accent1" w:themeFillTint="66"/>
          </w:tcPr>
          <w:p w14:paraId="1D6409F2" w14:textId="77777777" w:rsidR="00453D9C" w:rsidRPr="00453D9C" w:rsidRDefault="00453D9C" w:rsidP="003F05B8">
            <w:pPr>
              <w:spacing w:before="60" w:after="60"/>
              <w:rPr>
                <w:rFonts w:ascii="Arial" w:hAnsi="Arial" w:cs="Arial"/>
                <w:sz w:val="20"/>
                <w:szCs w:val="20"/>
              </w:rPr>
            </w:pPr>
            <w:r>
              <w:rPr>
                <w:rFonts w:ascii="Arial" w:hAnsi="Arial" w:cs="Arial"/>
                <w:sz w:val="20"/>
                <w:szCs w:val="20"/>
              </w:rPr>
              <w:t>1</w:t>
            </w:r>
          </w:p>
        </w:tc>
        <w:tc>
          <w:tcPr>
            <w:tcW w:w="8621" w:type="dxa"/>
            <w:shd w:val="clear" w:color="auto" w:fill="BDD6EE" w:themeFill="accent1" w:themeFillTint="66"/>
          </w:tcPr>
          <w:p w14:paraId="21DE56B1" w14:textId="77777777" w:rsidR="00453D9C" w:rsidRPr="00453D9C" w:rsidRDefault="00453D9C" w:rsidP="003F05B8">
            <w:pPr>
              <w:spacing w:before="60" w:after="60"/>
              <w:rPr>
                <w:rFonts w:ascii="Arial" w:hAnsi="Arial" w:cs="Arial"/>
                <w:sz w:val="20"/>
                <w:szCs w:val="20"/>
              </w:rPr>
            </w:pPr>
            <w:r>
              <w:rPr>
                <w:rFonts w:ascii="Arial" w:hAnsi="Arial" w:cs="Arial"/>
                <w:sz w:val="20"/>
                <w:szCs w:val="20"/>
              </w:rPr>
              <w:t>Ensure you attach all relevant i</w:t>
            </w:r>
            <w:r w:rsidR="00572004">
              <w:rPr>
                <w:rFonts w:ascii="Arial" w:hAnsi="Arial" w:cs="Arial"/>
                <w:sz w:val="20"/>
                <w:szCs w:val="20"/>
              </w:rPr>
              <w:t>nformation, e.g. your proposal</w:t>
            </w:r>
            <w:r w:rsidR="00B72B64">
              <w:rPr>
                <w:rFonts w:ascii="Arial" w:hAnsi="Arial" w:cs="Arial"/>
                <w:sz w:val="20"/>
                <w:szCs w:val="20"/>
              </w:rPr>
              <w:t>, correspondence with the Client</w:t>
            </w:r>
            <w:r w:rsidR="00532CE3">
              <w:rPr>
                <w:rFonts w:ascii="Arial" w:hAnsi="Arial" w:cs="Arial"/>
                <w:sz w:val="20"/>
                <w:szCs w:val="20"/>
              </w:rPr>
              <w:t>, etc</w:t>
            </w:r>
            <w:r w:rsidR="00B72B64">
              <w:rPr>
                <w:rFonts w:ascii="Arial" w:hAnsi="Arial" w:cs="Arial"/>
                <w:sz w:val="20"/>
                <w:szCs w:val="20"/>
              </w:rPr>
              <w:t>. Attached documents should be initialled by both Client and Consultant on each page</w:t>
            </w:r>
            <w:r w:rsidR="00572004">
              <w:rPr>
                <w:rFonts w:ascii="Arial" w:hAnsi="Arial" w:cs="Arial"/>
                <w:sz w:val="20"/>
                <w:szCs w:val="20"/>
              </w:rPr>
              <w:t>.</w:t>
            </w:r>
          </w:p>
        </w:tc>
      </w:tr>
      <w:tr w:rsidR="00453D9C" w14:paraId="7D268C5F" w14:textId="77777777" w:rsidTr="00BE18A4">
        <w:tc>
          <w:tcPr>
            <w:tcW w:w="872" w:type="dxa"/>
          </w:tcPr>
          <w:p w14:paraId="350EFB03" w14:textId="77777777" w:rsidR="00453D9C" w:rsidRPr="00453D9C" w:rsidRDefault="00B72B64" w:rsidP="003F05B8">
            <w:pPr>
              <w:spacing w:before="60" w:after="60"/>
              <w:rPr>
                <w:rFonts w:ascii="Arial" w:hAnsi="Arial" w:cs="Arial"/>
                <w:sz w:val="20"/>
                <w:szCs w:val="20"/>
              </w:rPr>
            </w:pPr>
            <w:r>
              <w:rPr>
                <w:rFonts w:ascii="Arial" w:hAnsi="Arial" w:cs="Arial"/>
                <w:sz w:val="20"/>
                <w:szCs w:val="20"/>
              </w:rPr>
              <w:t>2</w:t>
            </w:r>
          </w:p>
        </w:tc>
        <w:tc>
          <w:tcPr>
            <w:tcW w:w="8621" w:type="dxa"/>
          </w:tcPr>
          <w:p w14:paraId="1AC080BA" w14:textId="4626197F" w:rsidR="00EF790C" w:rsidRDefault="00B72B64" w:rsidP="003F05B8">
            <w:pPr>
              <w:spacing w:before="60" w:after="60"/>
              <w:rPr>
                <w:rFonts w:ascii="Arial" w:hAnsi="Arial" w:cs="Arial"/>
                <w:sz w:val="20"/>
                <w:szCs w:val="20"/>
              </w:rPr>
            </w:pPr>
            <w:r>
              <w:rPr>
                <w:rFonts w:ascii="Arial" w:hAnsi="Arial" w:cs="Arial"/>
                <w:sz w:val="20"/>
                <w:szCs w:val="20"/>
              </w:rPr>
              <w:t>Where you are providing Services</w:t>
            </w:r>
            <w:r w:rsidR="00145193">
              <w:rPr>
                <w:rFonts w:ascii="Arial" w:hAnsi="Arial" w:cs="Arial"/>
                <w:sz w:val="20"/>
                <w:szCs w:val="20"/>
              </w:rPr>
              <w:t xml:space="preserve"> to </w:t>
            </w:r>
            <w:r w:rsidR="00086B39">
              <w:rPr>
                <w:rFonts w:ascii="Arial" w:hAnsi="Arial" w:cs="Arial"/>
                <w:sz w:val="20"/>
                <w:szCs w:val="20"/>
              </w:rPr>
              <w:t xml:space="preserve">the </w:t>
            </w:r>
            <w:r w:rsidR="00145193">
              <w:rPr>
                <w:rFonts w:ascii="Arial" w:hAnsi="Arial" w:cs="Arial"/>
                <w:sz w:val="20"/>
                <w:szCs w:val="20"/>
              </w:rPr>
              <w:t>client</w:t>
            </w:r>
            <w:r>
              <w:rPr>
                <w:rFonts w:ascii="Arial" w:hAnsi="Arial" w:cs="Arial"/>
                <w:sz w:val="20"/>
                <w:szCs w:val="20"/>
              </w:rPr>
              <w:t xml:space="preserve"> for </w:t>
            </w:r>
            <w:r w:rsidR="00145193">
              <w:rPr>
                <w:rFonts w:ascii="Arial" w:hAnsi="Arial" w:cs="Arial"/>
                <w:sz w:val="20"/>
                <w:szCs w:val="20"/>
              </w:rPr>
              <w:t xml:space="preserve">their </w:t>
            </w:r>
            <w:r>
              <w:rPr>
                <w:rFonts w:ascii="Arial" w:hAnsi="Arial" w:cs="Arial"/>
                <w:sz w:val="20"/>
                <w:szCs w:val="20"/>
              </w:rPr>
              <w:t>personal, domestic or household use</w:t>
            </w:r>
            <w:r w:rsidR="00145193">
              <w:rPr>
                <w:rFonts w:ascii="Arial" w:hAnsi="Arial" w:cs="Arial"/>
                <w:sz w:val="20"/>
                <w:szCs w:val="20"/>
              </w:rPr>
              <w:t>,</w:t>
            </w:r>
            <w:r>
              <w:rPr>
                <w:rFonts w:ascii="Arial" w:hAnsi="Arial" w:cs="Arial"/>
                <w:sz w:val="20"/>
                <w:szCs w:val="20"/>
              </w:rPr>
              <w:t xml:space="preserve"> the Consumer Guarantees Act 1993 </w:t>
            </w:r>
            <w:r w:rsidR="00EF790C">
              <w:rPr>
                <w:rFonts w:ascii="Arial" w:hAnsi="Arial" w:cs="Arial"/>
                <w:sz w:val="20"/>
                <w:szCs w:val="20"/>
              </w:rPr>
              <w:t xml:space="preserve">(CGA) </w:t>
            </w:r>
            <w:r>
              <w:rPr>
                <w:rFonts w:ascii="Arial" w:hAnsi="Arial" w:cs="Arial"/>
                <w:sz w:val="20"/>
                <w:szCs w:val="20"/>
              </w:rPr>
              <w:t>applies</w:t>
            </w:r>
            <w:r w:rsidR="00FB0C77">
              <w:rPr>
                <w:rFonts w:ascii="Arial" w:hAnsi="Arial" w:cs="Arial"/>
                <w:sz w:val="20"/>
                <w:szCs w:val="20"/>
              </w:rPr>
              <w:t>- which provides that</w:t>
            </w:r>
            <w:r w:rsidR="00621C52">
              <w:rPr>
                <w:rFonts w:ascii="Arial" w:hAnsi="Arial" w:cs="Arial"/>
                <w:sz w:val="20"/>
                <w:szCs w:val="20"/>
              </w:rPr>
              <w:t>:</w:t>
            </w:r>
          </w:p>
          <w:p w14:paraId="661722DB" w14:textId="77777777" w:rsidR="00EF790C" w:rsidRDefault="00B72B64" w:rsidP="003F05B8">
            <w:pPr>
              <w:pStyle w:val="ListParagraph"/>
              <w:numPr>
                <w:ilvl w:val="0"/>
                <w:numId w:val="1"/>
              </w:numPr>
              <w:spacing w:before="60" w:after="60"/>
              <w:rPr>
                <w:rFonts w:ascii="Arial" w:hAnsi="Arial" w:cs="Arial"/>
                <w:sz w:val="20"/>
                <w:szCs w:val="20"/>
              </w:rPr>
            </w:pPr>
            <w:r w:rsidRPr="00EF790C">
              <w:rPr>
                <w:rFonts w:ascii="Arial" w:hAnsi="Arial" w:cs="Arial"/>
                <w:sz w:val="20"/>
                <w:szCs w:val="20"/>
              </w:rPr>
              <w:t>you will not be able to limit your liability</w:t>
            </w:r>
            <w:r w:rsidR="00EF790C">
              <w:rPr>
                <w:rFonts w:ascii="Arial" w:hAnsi="Arial" w:cs="Arial"/>
                <w:sz w:val="20"/>
                <w:szCs w:val="20"/>
              </w:rPr>
              <w:t xml:space="preserve"> </w:t>
            </w:r>
          </w:p>
          <w:p w14:paraId="20A109BF" w14:textId="77777777" w:rsidR="00EF790C" w:rsidRDefault="00EF790C" w:rsidP="003F05B8">
            <w:pPr>
              <w:pStyle w:val="ListParagraph"/>
              <w:numPr>
                <w:ilvl w:val="0"/>
                <w:numId w:val="1"/>
              </w:numPr>
              <w:spacing w:before="60" w:after="60"/>
              <w:rPr>
                <w:rFonts w:ascii="Arial" w:hAnsi="Arial" w:cs="Arial"/>
                <w:sz w:val="20"/>
                <w:szCs w:val="20"/>
              </w:rPr>
            </w:pPr>
            <w:r>
              <w:rPr>
                <w:rFonts w:ascii="Arial" w:hAnsi="Arial" w:cs="Arial"/>
                <w:sz w:val="20"/>
                <w:szCs w:val="20"/>
              </w:rPr>
              <w:t>y</w:t>
            </w:r>
            <w:r w:rsidR="00B72B64" w:rsidRPr="00EF790C">
              <w:rPr>
                <w:rFonts w:ascii="Arial" w:hAnsi="Arial" w:cs="Arial"/>
                <w:sz w:val="20"/>
                <w:szCs w:val="20"/>
              </w:rPr>
              <w:t>our services must be</w:t>
            </w:r>
            <w:r w:rsidR="00145193">
              <w:rPr>
                <w:rFonts w:ascii="Arial" w:hAnsi="Arial" w:cs="Arial"/>
                <w:sz w:val="20"/>
                <w:szCs w:val="20"/>
              </w:rPr>
              <w:t xml:space="preserve"> reasonably</w:t>
            </w:r>
            <w:r w:rsidR="00B72B64" w:rsidRPr="00EF790C">
              <w:rPr>
                <w:rFonts w:ascii="Arial" w:hAnsi="Arial" w:cs="Arial"/>
                <w:sz w:val="20"/>
                <w:szCs w:val="20"/>
              </w:rPr>
              <w:t xml:space="preserve"> “fit for purpose”</w:t>
            </w:r>
          </w:p>
          <w:p w14:paraId="5CFFA439" w14:textId="3BF612DF" w:rsidR="00EF790C" w:rsidRDefault="00EF790C" w:rsidP="003F05B8">
            <w:pPr>
              <w:pStyle w:val="ListParagraph"/>
              <w:numPr>
                <w:ilvl w:val="0"/>
                <w:numId w:val="1"/>
              </w:numPr>
              <w:spacing w:before="60" w:after="60"/>
              <w:rPr>
                <w:rFonts w:ascii="Arial" w:hAnsi="Arial" w:cs="Arial"/>
                <w:sz w:val="20"/>
                <w:szCs w:val="20"/>
              </w:rPr>
            </w:pPr>
            <w:r>
              <w:rPr>
                <w:rFonts w:ascii="Arial" w:hAnsi="Arial" w:cs="Arial"/>
                <w:sz w:val="20"/>
                <w:szCs w:val="20"/>
              </w:rPr>
              <w:t xml:space="preserve">the Services </w:t>
            </w:r>
            <w:r w:rsidRPr="00EF790C">
              <w:rPr>
                <w:rFonts w:ascii="Arial" w:hAnsi="Arial" w:cs="Arial"/>
                <w:sz w:val="20"/>
                <w:szCs w:val="20"/>
              </w:rPr>
              <w:t>must be completed within a reasonable time (unless a specific time is stated in this agreement</w:t>
            </w:r>
            <w:r w:rsidR="00621C52">
              <w:rPr>
                <w:rFonts w:ascii="Arial" w:hAnsi="Arial" w:cs="Arial"/>
                <w:sz w:val="20"/>
                <w:szCs w:val="20"/>
              </w:rPr>
              <w:t>)</w:t>
            </w:r>
            <w:r w:rsidRPr="00EF790C">
              <w:rPr>
                <w:rFonts w:ascii="Arial" w:hAnsi="Arial" w:cs="Arial"/>
                <w:sz w:val="20"/>
                <w:szCs w:val="20"/>
              </w:rPr>
              <w:t xml:space="preserve"> and, </w:t>
            </w:r>
          </w:p>
          <w:p w14:paraId="564C159E" w14:textId="77777777" w:rsidR="00453D9C" w:rsidRDefault="00EF790C" w:rsidP="003F05B8">
            <w:pPr>
              <w:pStyle w:val="ListParagraph"/>
              <w:numPr>
                <w:ilvl w:val="0"/>
                <w:numId w:val="1"/>
              </w:numPr>
              <w:spacing w:before="60" w:after="60"/>
              <w:rPr>
                <w:rFonts w:ascii="Arial" w:hAnsi="Arial" w:cs="Arial"/>
                <w:sz w:val="20"/>
                <w:szCs w:val="20"/>
              </w:rPr>
            </w:pPr>
            <w:r w:rsidRPr="00EF790C">
              <w:rPr>
                <w:rFonts w:ascii="Arial" w:hAnsi="Arial" w:cs="Arial"/>
                <w:sz w:val="20"/>
                <w:szCs w:val="20"/>
              </w:rPr>
              <w:t>unless a fixed or “not to exceed” fee</w:t>
            </w:r>
            <w:r w:rsidR="00532CE3">
              <w:rPr>
                <w:rFonts w:ascii="Arial" w:hAnsi="Arial" w:cs="Arial"/>
                <w:sz w:val="20"/>
                <w:szCs w:val="20"/>
              </w:rPr>
              <w:t xml:space="preserve"> is</w:t>
            </w:r>
            <w:r w:rsidRPr="00EF790C">
              <w:rPr>
                <w:rFonts w:ascii="Arial" w:hAnsi="Arial" w:cs="Arial"/>
                <w:sz w:val="20"/>
                <w:szCs w:val="20"/>
              </w:rPr>
              <w:t xml:space="preserve"> included in the agreement, the fee must also be “reasonable”.</w:t>
            </w:r>
          </w:p>
          <w:p w14:paraId="3FE6325A" w14:textId="1533E3B4" w:rsidR="00EF790C" w:rsidRPr="00EF790C" w:rsidRDefault="00145193" w:rsidP="003F05B8">
            <w:pPr>
              <w:spacing w:before="60" w:after="60"/>
              <w:rPr>
                <w:rFonts w:ascii="Arial" w:hAnsi="Arial" w:cs="Arial"/>
                <w:sz w:val="20"/>
                <w:szCs w:val="20"/>
              </w:rPr>
            </w:pPr>
            <w:r>
              <w:rPr>
                <w:rFonts w:ascii="Arial" w:hAnsi="Arial" w:cs="Arial"/>
                <w:sz w:val="20"/>
                <w:szCs w:val="20"/>
              </w:rPr>
              <w:t xml:space="preserve">This clause </w:t>
            </w:r>
            <w:r w:rsidR="00FB0C77">
              <w:rPr>
                <w:rFonts w:ascii="Arial" w:hAnsi="Arial" w:cs="Arial"/>
                <w:sz w:val="20"/>
                <w:szCs w:val="20"/>
              </w:rPr>
              <w:t xml:space="preserve">seeks to clarify that such provisions do not apply when the Consultant’s services are provided for the purposes of a business. </w:t>
            </w:r>
            <w:r w:rsidR="00EF790C">
              <w:rPr>
                <w:rFonts w:ascii="Arial" w:hAnsi="Arial" w:cs="Arial"/>
                <w:sz w:val="20"/>
                <w:szCs w:val="20"/>
              </w:rPr>
              <w:t>Typically, the CGA applies where you are working on a private residence</w:t>
            </w:r>
            <w:r w:rsidR="00532CE3">
              <w:rPr>
                <w:rFonts w:ascii="Arial" w:hAnsi="Arial" w:cs="Arial"/>
                <w:sz w:val="20"/>
                <w:szCs w:val="20"/>
              </w:rPr>
              <w:t xml:space="preserve"> but may also include projects undertaken for private individuals</w:t>
            </w:r>
            <w:r w:rsidR="005B2EE3">
              <w:rPr>
                <w:rFonts w:ascii="Arial" w:hAnsi="Arial" w:cs="Arial"/>
                <w:sz w:val="20"/>
                <w:szCs w:val="20"/>
              </w:rPr>
              <w:t>.</w:t>
            </w:r>
          </w:p>
        </w:tc>
      </w:tr>
      <w:tr w:rsidR="00453D9C" w14:paraId="425D4650" w14:textId="77777777" w:rsidTr="00850D39">
        <w:tc>
          <w:tcPr>
            <w:tcW w:w="872" w:type="dxa"/>
            <w:shd w:val="clear" w:color="auto" w:fill="BDD6EE" w:themeFill="accent1" w:themeFillTint="66"/>
          </w:tcPr>
          <w:p w14:paraId="4AE40502" w14:textId="77777777" w:rsidR="00453D9C" w:rsidRPr="00453D9C" w:rsidRDefault="00B7263C" w:rsidP="003F05B8">
            <w:pPr>
              <w:spacing w:before="60" w:after="60"/>
              <w:rPr>
                <w:rFonts w:ascii="Arial" w:hAnsi="Arial" w:cs="Arial"/>
                <w:sz w:val="20"/>
                <w:szCs w:val="20"/>
              </w:rPr>
            </w:pPr>
            <w:r>
              <w:rPr>
                <w:rFonts w:ascii="Arial" w:hAnsi="Arial" w:cs="Arial"/>
                <w:sz w:val="20"/>
                <w:szCs w:val="20"/>
              </w:rPr>
              <w:t>4</w:t>
            </w:r>
          </w:p>
        </w:tc>
        <w:tc>
          <w:tcPr>
            <w:tcW w:w="8621" w:type="dxa"/>
            <w:shd w:val="clear" w:color="auto" w:fill="BDD6EE" w:themeFill="accent1" w:themeFillTint="66"/>
          </w:tcPr>
          <w:p w14:paraId="28A0F82B" w14:textId="3EACF69A" w:rsidR="00453D9C" w:rsidRPr="00453D9C" w:rsidRDefault="00B7263C" w:rsidP="00621C52">
            <w:pPr>
              <w:spacing w:before="60" w:after="60"/>
              <w:rPr>
                <w:rFonts w:ascii="Arial" w:hAnsi="Arial" w:cs="Arial"/>
                <w:sz w:val="20"/>
                <w:szCs w:val="20"/>
              </w:rPr>
            </w:pPr>
            <w:r>
              <w:rPr>
                <w:rFonts w:ascii="Arial" w:hAnsi="Arial" w:cs="Arial"/>
                <w:sz w:val="20"/>
                <w:szCs w:val="20"/>
              </w:rPr>
              <w:t xml:space="preserve">The Consultant is required to ensure that information provided by the Client is not used for any purposes </w:t>
            </w:r>
            <w:r w:rsidR="00FB0C77">
              <w:rPr>
                <w:rFonts w:ascii="Arial" w:hAnsi="Arial" w:cs="Arial"/>
                <w:sz w:val="20"/>
                <w:szCs w:val="20"/>
              </w:rPr>
              <w:t xml:space="preserve">unrelated to the </w:t>
            </w:r>
            <w:r>
              <w:rPr>
                <w:rFonts w:ascii="Arial" w:hAnsi="Arial" w:cs="Arial"/>
                <w:sz w:val="20"/>
                <w:szCs w:val="20"/>
              </w:rPr>
              <w:t xml:space="preserve">Services. The Client must advise the Consultant if any of the information provided to the Consultant is copyright and/or the intellectual property of a third party. </w:t>
            </w:r>
          </w:p>
        </w:tc>
      </w:tr>
      <w:tr w:rsidR="00B7263C" w14:paraId="17007E08" w14:textId="77777777" w:rsidTr="00BE18A4">
        <w:tc>
          <w:tcPr>
            <w:tcW w:w="872" w:type="dxa"/>
          </w:tcPr>
          <w:p w14:paraId="0F5F49DA" w14:textId="77777777" w:rsidR="00B7263C" w:rsidRDefault="008806A9" w:rsidP="003F05B8">
            <w:pPr>
              <w:spacing w:before="60" w:after="60"/>
              <w:rPr>
                <w:rFonts w:ascii="Arial" w:hAnsi="Arial" w:cs="Arial"/>
                <w:sz w:val="20"/>
                <w:szCs w:val="20"/>
              </w:rPr>
            </w:pPr>
            <w:r>
              <w:rPr>
                <w:rFonts w:ascii="Arial" w:hAnsi="Arial" w:cs="Arial"/>
                <w:sz w:val="20"/>
                <w:szCs w:val="20"/>
              </w:rPr>
              <w:t>5</w:t>
            </w:r>
          </w:p>
        </w:tc>
        <w:tc>
          <w:tcPr>
            <w:tcW w:w="8621" w:type="dxa"/>
          </w:tcPr>
          <w:p w14:paraId="55A0DB0E" w14:textId="4E6B38DA" w:rsidR="00B7263C" w:rsidRDefault="00FB0C77" w:rsidP="003F05B8">
            <w:pPr>
              <w:spacing w:before="60" w:after="60"/>
              <w:rPr>
                <w:rFonts w:ascii="Arial" w:hAnsi="Arial" w:cs="Arial"/>
                <w:sz w:val="20"/>
                <w:szCs w:val="20"/>
              </w:rPr>
            </w:pPr>
            <w:r>
              <w:rPr>
                <w:rFonts w:ascii="Arial" w:hAnsi="Arial" w:cs="Arial"/>
                <w:sz w:val="20"/>
                <w:szCs w:val="20"/>
              </w:rPr>
              <w:t xml:space="preserve">This clause confirms the good practice requirement </w:t>
            </w:r>
            <w:r w:rsidR="00B7263C">
              <w:rPr>
                <w:rFonts w:ascii="Arial" w:hAnsi="Arial" w:cs="Arial"/>
                <w:sz w:val="20"/>
                <w:szCs w:val="20"/>
              </w:rPr>
              <w:t>to advise</w:t>
            </w:r>
            <w:r>
              <w:rPr>
                <w:rFonts w:ascii="Arial" w:hAnsi="Arial" w:cs="Arial"/>
                <w:sz w:val="20"/>
                <w:szCs w:val="20"/>
              </w:rPr>
              <w:t xml:space="preserve"> the Client without delay </w:t>
            </w:r>
            <w:r w:rsidR="00B7263C">
              <w:rPr>
                <w:rFonts w:ascii="Arial" w:hAnsi="Arial" w:cs="Arial"/>
                <w:sz w:val="20"/>
                <w:szCs w:val="20"/>
              </w:rPr>
              <w:t xml:space="preserve">if you believe that an instruction from the </w:t>
            </w:r>
            <w:r>
              <w:rPr>
                <w:rFonts w:ascii="Arial" w:hAnsi="Arial" w:cs="Arial"/>
                <w:sz w:val="20"/>
                <w:szCs w:val="20"/>
              </w:rPr>
              <w:t xml:space="preserve">Client </w:t>
            </w:r>
            <w:r w:rsidR="00B7263C">
              <w:rPr>
                <w:rFonts w:ascii="Arial" w:hAnsi="Arial" w:cs="Arial"/>
                <w:sz w:val="20"/>
                <w:szCs w:val="20"/>
              </w:rPr>
              <w:t xml:space="preserve">constitutes a variation or if you become aware of a circumstance which could impact the Services. For example, results of geotechnical testing which show that ground conditions are different to what were expected, or there has been a change in a code of practice or statutory requirement. This is </w:t>
            </w:r>
            <w:proofErr w:type="gramStart"/>
            <w:r w:rsidR="00B7263C">
              <w:rPr>
                <w:rFonts w:ascii="Arial" w:hAnsi="Arial" w:cs="Arial"/>
                <w:sz w:val="20"/>
                <w:szCs w:val="20"/>
              </w:rPr>
              <w:t>similar to</w:t>
            </w:r>
            <w:proofErr w:type="gramEnd"/>
            <w:r w:rsidR="00B7263C">
              <w:rPr>
                <w:rFonts w:ascii="Arial" w:hAnsi="Arial" w:cs="Arial"/>
                <w:sz w:val="20"/>
                <w:szCs w:val="20"/>
              </w:rPr>
              <w:t xml:space="preserve"> the “early warning” requirement in CCCS.</w:t>
            </w:r>
          </w:p>
        </w:tc>
      </w:tr>
      <w:tr w:rsidR="00532CE3" w14:paraId="3587A2B0" w14:textId="77777777" w:rsidTr="00850D39">
        <w:tc>
          <w:tcPr>
            <w:tcW w:w="872" w:type="dxa"/>
            <w:shd w:val="clear" w:color="auto" w:fill="BDD6EE" w:themeFill="accent1" w:themeFillTint="66"/>
          </w:tcPr>
          <w:p w14:paraId="08EFB980" w14:textId="77777777" w:rsidR="00532CE3" w:rsidRDefault="00532CE3" w:rsidP="003F05B8">
            <w:pPr>
              <w:spacing w:before="60" w:after="60"/>
              <w:rPr>
                <w:rFonts w:ascii="Arial" w:hAnsi="Arial" w:cs="Arial"/>
                <w:sz w:val="20"/>
                <w:szCs w:val="20"/>
              </w:rPr>
            </w:pPr>
            <w:r>
              <w:rPr>
                <w:rFonts w:ascii="Arial" w:hAnsi="Arial" w:cs="Arial"/>
                <w:sz w:val="20"/>
                <w:szCs w:val="20"/>
              </w:rPr>
              <w:t>6</w:t>
            </w:r>
          </w:p>
        </w:tc>
        <w:tc>
          <w:tcPr>
            <w:tcW w:w="8621" w:type="dxa"/>
            <w:shd w:val="clear" w:color="auto" w:fill="BDD6EE" w:themeFill="accent1" w:themeFillTint="66"/>
          </w:tcPr>
          <w:p w14:paraId="6FAC06A4" w14:textId="57751ADB" w:rsidR="00532CE3" w:rsidRDefault="00532CE3" w:rsidP="003F05B8">
            <w:pPr>
              <w:spacing w:before="60" w:after="60"/>
              <w:rPr>
                <w:rFonts w:ascii="Arial" w:hAnsi="Arial" w:cs="Arial"/>
                <w:sz w:val="20"/>
                <w:szCs w:val="20"/>
              </w:rPr>
            </w:pPr>
            <w:r>
              <w:rPr>
                <w:rFonts w:ascii="Arial" w:hAnsi="Arial" w:cs="Arial"/>
                <w:sz w:val="20"/>
                <w:szCs w:val="20"/>
              </w:rPr>
              <w:t xml:space="preserve">Whether the Client has ordered a variation or has requested </w:t>
            </w:r>
            <w:r w:rsidR="00F97D22">
              <w:rPr>
                <w:rFonts w:ascii="Arial" w:hAnsi="Arial" w:cs="Arial"/>
                <w:sz w:val="20"/>
                <w:szCs w:val="20"/>
              </w:rPr>
              <w:t>the Consultant</w:t>
            </w:r>
            <w:r w:rsidR="00EA44A0">
              <w:rPr>
                <w:rFonts w:ascii="Arial" w:hAnsi="Arial" w:cs="Arial"/>
                <w:sz w:val="20"/>
                <w:szCs w:val="20"/>
              </w:rPr>
              <w:t xml:space="preserve"> to</w:t>
            </w:r>
            <w:r w:rsidR="00F97D22">
              <w:rPr>
                <w:rFonts w:ascii="Arial" w:hAnsi="Arial" w:cs="Arial"/>
                <w:sz w:val="20"/>
                <w:szCs w:val="20"/>
              </w:rPr>
              <w:t xml:space="preserve"> </w:t>
            </w:r>
            <w:r>
              <w:rPr>
                <w:rFonts w:ascii="Arial" w:hAnsi="Arial" w:cs="Arial"/>
                <w:sz w:val="20"/>
                <w:szCs w:val="20"/>
              </w:rPr>
              <w:t>submit a proposal for a variation, the cost of the variation and the time required to provide the additional services should be agreed prior to any work being done on the variation. Failure to agree these at the time could result in a disagreement o</w:t>
            </w:r>
            <w:r w:rsidR="00086B39">
              <w:rPr>
                <w:rFonts w:ascii="Arial" w:hAnsi="Arial" w:cs="Arial"/>
                <w:sz w:val="20"/>
                <w:szCs w:val="20"/>
              </w:rPr>
              <w:t>r</w:t>
            </w:r>
            <w:r>
              <w:rPr>
                <w:rFonts w:ascii="Arial" w:hAnsi="Arial" w:cs="Arial"/>
                <w:sz w:val="20"/>
                <w:szCs w:val="20"/>
              </w:rPr>
              <w:t xml:space="preserve"> dispute later. </w:t>
            </w:r>
          </w:p>
        </w:tc>
      </w:tr>
      <w:tr w:rsidR="0029224C" w14:paraId="305A405C" w14:textId="77777777" w:rsidTr="00BE18A4">
        <w:tc>
          <w:tcPr>
            <w:tcW w:w="872" w:type="dxa"/>
          </w:tcPr>
          <w:p w14:paraId="2F78FD00" w14:textId="77777777" w:rsidR="0029224C" w:rsidRDefault="0029224C" w:rsidP="003F05B8">
            <w:pPr>
              <w:spacing w:before="60" w:after="60"/>
              <w:rPr>
                <w:rFonts w:ascii="Arial" w:hAnsi="Arial" w:cs="Arial"/>
                <w:sz w:val="20"/>
                <w:szCs w:val="20"/>
              </w:rPr>
            </w:pPr>
            <w:r>
              <w:rPr>
                <w:rFonts w:ascii="Arial" w:hAnsi="Arial" w:cs="Arial"/>
                <w:sz w:val="20"/>
                <w:szCs w:val="20"/>
              </w:rPr>
              <w:t>7</w:t>
            </w:r>
          </w:p>
        </w:tc>
        <w:tc>
          <w:tcPr>
            <w:tcW w:w="8621" w:type="dxa"/>
          </w:tcPr>
          <w:p w14:paraId="4F8EB247" w14:textId="206854E9" w:rsidR="0029224C" w:rsidRDefault="0029224C" w:rsidP="003F05B8">
            <w:pPr>
              <w:spacing w:before="60" w:after="60"/>
              <w:rPr>
                <w:rFonts w:ascii="Arial" w:hAnsi="Arial" w:cs="Arial"/>
                <w:sz w:val="20"/>
                <w:szCs w:val="20"/>
              </w:rPr>
            </w:pPr>
            <w:r>
              <w:rPr>
                <w:rFonts w:ascii="Arial" w:hAnsi="Arial" w:cs="Arial"/>
                <w:sz w:val="20"/>
                <w:szCs w:val="20"/>
              </w:rPr>
              <w:t xml:space="preserve">The amount and frequency of payments to be made by the Client are set out in the </w:t>
            </w:r>
            <w:r w:rsidR="00241150" w:rsidRPr="005B2EE3">
              <w:rPr>
                <w:rFonts w:ascii="Arial" w:hAnsi="Arial" w:cs="Arial"/>
                <w:i/>
                <w:sz w:val="20"/>
                <w:szCs w:val="20"/>
              </w:rPr>
              <w:t xml:space="preserve">Agreement </w:t>
            </w:r>
            <w:r w:rsidR="005B2EE3" w:rsidRPr="005B2EE3">
              <w:rPr>
                <w:rFonts w:ascii="Arial" w:hAnsi="Arial" w:cs="Arial"/>
                <w:i/>
                <w:sz w:val="20"/>
                <w:szCs w:val="20"/>
              </w:rPr>
              <w:t>Particulars</w:t>
            </w:r>
            <w:r w:rsidR="005B2EE3">
              <w:rPr>
                <w:rFonts w:ascii="Arial" w:hAnsi="Arial" w:cs="Arial"/>
                <w:sz w:val="20"/>
                <w:szCs w:val="20"/>
              </w:rPr>
              <w:t>.</w:t>
            </w:r>
            <w:r>
              <w:rPr>
                <w:rFonts w:ascii="Arial" w:hAnsi="Arial" w:cs="Arial"/>
                <w:sz w:val="20"/>
                <w:szCs w:val="20"/>
              </w:rPr>
              <w:t xml:space="preserve"> Where you are engaged by an agent on behalf of the Client, e.g. an independent project manager, then the agent </w:t>
            </w:r>
            <w:r w:rsidR="00BC0905">
              <w:rPr>
                <w:rFonts w:ascii="Arial" w:hAnsi="Arial" w:cs="Arial"/>
                <w:sz w:val="20"/>
                <w:szCs w:val="20"/>
              </w:rPr>
              <w:t xml:space="preserve">is also </w:t>
            </w:r>
            <w:r>
              <w:rPr>
                <w:rFonts w:ascii="Arial" w:hAnsi="Arial" w:cs="Arial"/>
                <w:sz w:val="20"/>
                <w:szCs w:val="20"/>
              </w:rPr>
              <w:t xml:space="preserve">liable for payment </w:t>
            </w:r>
            <w:proofErr w:type="gramStart"/>
            <w:r>
              <w:rPr>
                <w:rFonts w:ascii="Arial" w:hAnsi="Arial" w:cs="Arial"/>
                <w:sz w:val="20"/>
                <w:szCs w:val="20"/>
              </w:rPr>
              <w:t>in the event that</w:t>
            </w:r>
            <w:proofErr w:type="gramEnd"/>
            <w:r>
              <w:rPr>
                <w:rFonts w:ascii="Arial" w:hAnsi="Arial" w:cs="Arial"/>
                <w:sz w:val="20"/>
                <w:szCs w:val="20"/>
              </w:rPr>
              <w:t xml:space="preserve"> the Client is unable or unwilling to pay for the Services. </w:t>
            </w:r>
          </w:p>
        </w:tc>
      </w:tr>
      <w:tr w:rsidR="00B7263C" w14:paraId="39CBF4AE" w14:textId="77777777" w:rsidTr="00850D39">
        <w:tc>
          <w:tcPr>
            <w:tcW w:w="872" w:type="dxa"/>
            <w:shd w:val="clear" w:color="auto" w:fill="BDD6EE" w:themeFill="accent1" w:themeFillTint="66"/>
          </w:tcPr>
          <w:p w14:paraId="1163D8D9" w14:textId="77777777" w:rsidR="00B7263C" w:rsidRDefault="008806A9" w:rsidP="003F05B8">
            <w:pPr>
              <w:spacing w:before="60" w:after="60"/>
              <w:rPr>
                <w:rFonts w:ascii="Arial" w:hAnsi="Arial" w:cs="Arial"/>
                <w:sz w:val="20"/>
                <w:szCs w:val="20"/>
              </w:rPr>
            </w:pPr>
            <w:r>
              <w:rPr>
                <w:rFonts w:ascii="Arial" w:hAnsi="Arial" w:cs="Arial"/>
                <w:sz w:val="20"/>
                <w:szCs w:val="20"/>
              </w:rPr>
              <w:t>8</w:t>
            </w:r>
          </w:p>
        </w:tc>
        <w:tc>
          <w:tcPr>
            <w:tcW w:w="8621" w:type="dxa"/>
            <w:shd w:val="clear" w:color="auto" w:fill="BDD6EE" w:themeFill="accent1" w:themeFillTint="66"/>
          </w:tcPr>
          <w:p w14:paraId="3E82C4FD" w14:textId="0C7D4724" w:rsidR="00B7263C" w:rsidRDefault="008806A9" w:rsidP="00621C52">
            <w:pPr>
              <w:spacing w:before="60" w:after="60"/>
              <w:rPr>
                <w:rFonts w:ascii="Arial" w:hAnsi="Arial" w:cs="Arial"/>
                <w:sz w:val="20"/>
                <w:szCs w:val="20"/>
              </w:rPr>
            </w:pPr>
            <w:r>
              <w:rPr>
                <w:rFonts w:ascii="Arial" w:hAnsi="Arial" w:cs="Arial"/>
                <w:sz w:val="20"/>
                <w:szCs w:val="20"/>
              </w:rPr>
              <w:t>The default payment terms are 20</w:t>
            </w:r>
            <w:r w:rsidRPr="008806A9">
              <w:rPr>
                <w:rFonts w:ascii="Arial" w:hAnsi="Arial" w:cs="Arial"/>
                <w:sz w:val="20"/>
                <w:szCs w:val="20"/>
                <w:vertAlign w:val="superscript"/>
              </w:rPr>
              <w:t>th</w:t>
            </w:r>
            <w:r>
              <w:rPr>
                <w:rFonts w:ascii="Arial" w:hAnsi="Arial" w:cs="Arial"/>
                <w:sz w:val="20"/>
                <w:szCs w:val="20"/>
              </w:rPr>
              <w:t xml:space="preserve"> month following the month of issue of each GST invoice. If alternative terms are agreed</w:t>
            </w:r>
            <w:r w:rsidR="00086B39">
              <w:rPr>
                <w:rFonts w:ascii="Arial" w:hAnsi="Arial" w:cs="Arial"/>
                <w:sz w:val="20"/>
                <w:szCs w:val="20"/>
              </w:rPr>
              <w:t>,</w:t>
            </w:r>
            <w:r>
              <w:rPr>
                <w:rFonts w:ascii="Arial" w:hAnsi="Arial" w:cs="Arial"/>
                <w:sz w:val="20"/>
                <w:szCs w:val="20"/>
              </w:rPr>
              <w:t xml:space="preserve"> they must be included in the “</w:t>
            </w:r>
            <w:r w:rsidRPr="005B2EE3">
              <w:rPr>
                <w:rFonts w:ascii="Arial" w:hAnsi="Arial" w:cs="Arial"/>
                <w:i/>
                <w:sz w:val="20"/>
                <w:szCs w:val="20"/>
              </w:rPr>
              <w:t>Fees &amp; timing of payments</w:t>
            </w:r>
            <w:r w:rsidR="00BC0905">
              <w:rPr>
                <w:rFonts w:ascii="Arial" w:hAnsi="Arial" w:cs="Arial"/>
                <w:sz w:val="20"/>
                <w:szCs w:val="20"/>
              </w:rPr>
              <w:t>” or</w:t>
            </w:r>
            <w:r>
              <w:rPr>
                <w:rFonts w:ascii="Arial" w:hAnsi="Arial" w:cs="Arial"/>
                <w:sz w:val="20"/>
                <w:szCs w:val="20"/>
              </w:rPr>
              <w:t xml:space="preserve"> </w:t>
            </w:r>
            <w:r w:rsidR="00BC0905">
              <w:rPr>
                <w:rFonts w:ascii="Arial" w:hAnsi="Arial" w:cs="Arial"/>
                <w:sz w:val="20"/>
                <w:szCs w:val="20"/>
              </w:rPr>
              <w:t>“</w:t>
            </w:r>
            <w:r w:rsidR="00BC0905" w:rsidRPr="005B2EE3">
              <w:rPr>
                <w:rFonts w:ascii="Arial" w:hAnsi="Arial" w:cs="Arial"/>
                <w:i/>
                <w:sz w:val="20"/>
                <w:szCs w:val="20"/>
              </w:rPr>
              <w:t>Variation to the Short Form Model Conditions of Engagement</w:t>
            </w:r>
            <w:r w:rsidR="00BC0905">
              <w:rPr>
                <w:rFonts w:ascii="Arial" w:hAnsi="Arial" w:cs="Arial"/>
                <w:sz w:val="20"/>
                <w:szCs w:val="20"/>
              </w:rPr>
              <w:t xml:space="preserve">” </w:t>
            </w:r>
            <w:r>
              <w:rPr>
                <w:rFonts w:ascii="Arial" w:hAnsi="Arial" w:cs="Arial"/>
                <w:sz w:val="20"/>
                <w:szCs w:val="20"/>
              </w:rPr>
              <w:t>section</w:t>
            </w:r>
            <w:r w:rsidR="00BC0905">
              <w:rPr>
                <w:rFonts w:ascii="Arial" w:hAnsi="Arial" w:cs="Arial"/>
                <w:sz w:val="20"/>
                <w:szCs w:val="20"/>
              </w:rPr>
              <w:t xml:space="preserve">s in </w:t>
            </w:r>
            <w:r>
              <w:rPr>
                <w:rFonts w:ascii="Arial" w:hAnsi="Arial" w:cs="Arial"/>
                <w:sz w:val="20"/>
                <w:szCs w:val="20"/>
              </w:rPr>
              <w:t xml:space="preserve">the </w:t>
            </w:r>
            <w:r w:rsidRPr="005B2EE3">
              <w:rPr>
                <w:rFonts w:ascii="Arial" w:hAnsi="Arial" w:cs="Arial"/>
                <w:i/>
                <w:sz w:val="20"/>
                <w:szCs w:val="20"/>
              </w:rPr>
              <w:t>Agreement Particulars</w:t>
            </w:r>
            <w:r>
              <w:rPr>
                <w:rFonts w:ascii="Arial" w:hAnsi="Arial" w:cs="Arial"/>
                <w:sz w:val="20"/>
                <w:szCs w:val="20"/>
              </w:rPr>
              <w:t>. Note that the Services can be suspended</w:t>
            </w:r>
            <w:r w:rsidR="001C54F9">
              <w:rPr>
                <w:rFonts w:ascii="Arial" w:hAnsi="Arial" w:cs="Arial"/>
                <w:sz w:val="20"/>
                <w:szCs w:val="20"/>
              </w:rPr>
              <w:t xml:space="preserve"> following notice by the C</w:t>
            </w:r>
            <w:r w:rsidR="005B2EE3">
              <w:rPr>
                <w:rFonts w:ascii="Arial" w:hAnsi="Arial" w:cs="Arial"/>
                <w:sz w:val="20"/>
                <w:szCs w:val="20"/>
              </w:rPr>
              <w:t>onsultant</w:t>
            </w:r>
            <w:r w:rsidR="001C54F9">
              <w:rPr>
                <w:rFonts w:ascii="Arial" w:hAnsi="Arial" w:cs="Arial"/>
                <w:sz w:val="20"/>
                <w:szCs w:val="20"/>
              </w:rPr>
              <w:t xml:space="preserve"> for continued non-payment by the </w:t>
            </w:r>
            <w:r w:rsidR="005B2EE3">
              <w:rPr>
                <w:rFonts w:ascii="Arial" w:hAnsi="Arial" w:cs="Arial"/>
                <w:sz w:val="20"/>
                <w:szCs w:val="20"/>
              </w:rPr>
              <w:t>Client,</w:t>
            </w:r>
            <w:r>
              <w:rPr>
                <w:rFonts w:ascii="Arial" w:hAnsi="Arial" w:cs="Arial"/>
                <w:sz w:val="20"/>
                <w:szCs w:val="20"/>
              </w:rPr>
              <w:t xml:space="preserve"> but the Services </w:t>
            </w:r>
            <w:r w:rsidR="00621C52">
              <w:rPr>
                <w:rFonts w:ascii="Arial" w:hAnsi="Arial" w:cs="Arial"/>
                <w:sz w:val="20"/>
                <w:szCs w:val="20"/>
              </w:rPr>
              <w:t xml:space="preserve">must </w:t>
            </w:r>
            <w:r>
              <w:rPr>
                <w:rFonts w:ascii="Arial" w:hAnsi="Arial" w:cs="Arial"/>
                <w:sz w:val="20"/>
                <w:szCs w:val="20"/>
              </w:rPr>
              <w:t xml:space="preserve">be resumed when payment is made. Interest is payable where payment is made after the due date and costs incurred in recovering the </w:t>
            </w:r>
            <w:r w:rsidR="001C54F9">
              <w:rPr>
                <w:rFonts w:ascii="Arial" w:hAnsi="Arial" w:cs="Arial"/>
                <w:sz w:val="20"/>
                <w:szCs w:val="20"/>
              </w:rPr>
              <w:t xml:space="preserve">fees owed </w:t>
            </w:r>
            <w:r>
              <w:rPr>
                <w:rFonts w:ascii="Arial" w:hAnsi="Arial" w:cs="Arial"/>
                <w:sz w:val="20"/>
                <w:szCs w:val="20"/>
              </w:rPr>
              <w:t>may also be charged.</w:t>
            </w:r>
          </w:p>
        </w:tc>
      </w:tr>
      <w:tr w:rsidR="008806A9" w14:paraId="28C55452" w14:textId="77777777" w:rsidTr="00BE18A4">
        <w:tc>
          <w:tcPr>
            <w:tcW w:w="872" w:type="dxa"/>
          </w:tcPr>
          <w:p w14:paraId="607677B9" w14:textId="77777777" w:rsidR="008806A9" w:rsidRDefault="008806A9" w:rsidP="003F05B8">
            <w:pPr>
              <w:spacing w:before="60" w:after="60"/>
              <w:rPr>
                <w:rFonts w:ascii="Arial" w:hAnsi="Arial" w:cs="Arial"/>
                <w:sz w:val="20"/>
                <w:szCs w:val="20"/>
              </w:rPr>
            </w:pPr>
            <w:r>
              <w:rPr>
                <w:rFonts w:ascii="Arial" w:hAnsi="Arial" w:cs="Arial"/>
                <w:sz w:val="20"/>
                <w:szCs w:val="20"/>
              </w:rPr>
              <w:t>9</w:t>
            </w:r>
          </w:p>
        </w:tc>
        <w:tc>
          <w:tcPr>
            <w:tcW w:w="8621" w:type="dxa"/>
          </w:tcPr>
          <w:p w14:paraId="3BDBDD1B" w14:textId="533DC7CA" w:rsidR="0090375C" w:rsidRPr="0090375C" w:rsidRDefault="0090375C" w:rsidP="003F05B8">
            <w:pPr>
              <w:pStyle w:val="Default"/>
              <w:spacing w:before="60" w:after="60"/>
              <w:rPr>
                <w:rFonts w:ascii="Arial" w:hAnsi="Arial" w:cs="Arial"/>
                <w:sz w:val="20"/>
                <w:szCs w:val="20"/>
              </w:rPr>
            </w:pPr>
            <w:r w:rsidRPr="0090375C">
              <w:rPr>
                <w:rFonts w:ascii="Arial" w:hAnsi="Arial" w:cs="Arial"/>
                <w:sz w:val="20"/>
                <w:szCs w:val="20"/>
              </w:rPr>
              <w:t>If the Services are of a nature that they come within the ambit of the Construction Contracts Act 2002 (</w:t>
            </w:r>
            <w:r w:rsidR="001C54F9">
              <w:rPr>
                <w:rFonts w:ascii="Arial" w:hAnsi="Arial" w:cs="Arial"/>
                <w:sz w:val="20"/>
                <w:szCs w:val="20"/>
              </w:rPr>
              <w:t xml:space="preserve">e.g. </w:t>
            </w:r>
            <w:r w:rsidRPr="0090375C">
              <w:rPr>
                <w:rFonts w:ascii="Arial" w:hAnsi="Arial" w:cs="Arial"/>
                <w:sz w:val="20"/>
                <w:szCs w:val="20"/>
              </w:rPr>
              <w:t>design, engineering and quantity surveying) and the Consultant follows the procedure set out in the Act for claiming payment, then the provisions of the Act regarding payment may be invoked.</w:t>
            </w:r>
          </w:p>
          <w:p w14:paraId="7CBE3A09" w14:textId="77777777" w:rsidR="0090375C" w:rsidRDefault="0090375C" w:rsidP="003F05B8">
            <w:pPr>
              <w:spacing w:before="60" w:after="60"/>
              <w:rPr>
                <w:rFonts w:ascii="Arial" w:hAnsi="Arial" w:cs="Arial"/>
                <w:sz w:val="20"/>
                <w:szCs w:val="20"/>
              </w:rPr>
            </w:pPr>
            <w:r w:rsidRPr="0090375C">
              <w:rPr>
                <w:rFonts w:ascii="Arial" w:hAnsi="Arial" w:cs="Arial"/>
                <w:sz w:val="20"/>
                <w:szCs w:val="20"/>
              </w:rPr>
              <w:t>Be aware when engaging Subconsultants that “pay when paid” and “pay if paid” provisions are prohibited under the Construction Contracts Act 2002</w:t>
            </w:r>
            <w:r w:rsidR="00643B86">
              <w:rPr>
                <w:rFonts w:ascii="Arial" w:hAnsi="Arial" w:cs="Arial"/>
                <w:sz w:val="20"/>
                <w:szCs w:val="20"/>
              </w:rPr>
              <w:t xml:space="preserve"> and apply in all cases.</w:t>
            </w:r>
          </w:p>
        </w:tc>
      </w:tr>
      <w:tr w:rsidR="00643B86" w14:paraId="0029E218" w14:textId="77777777" w:rsidTr="00850D39">
        <w:tc>
          <w:tcPr>
            <w:tcW w:w="872" w:type="dxa"/>
            <w:shd w:val="clear" w:color="auto" w:fill="BDD6EE" w:themeFill="accent1" w:themeFillTint="66"/>
          </w:tcPr>
          <w:p w14:paraId="35409ABE" w14:textId="77777777" w:rsidR="00643B86" w:rsidRDefault="00643B86" w:rsidP="003F05B8">
            <w:pPr>
              <w:spacing w:before="60" w:after="60"/>
              <w:rPr>
                <w:rFonts w:ascii="Arial" w:hAnsi="Arial" w:cs="Arial"/>
                <w:sz w:val="20"/>
                <w:szCs w:val="20"/>
              </w:rPr>
            </w:pPr>
            <w:r>
              <w:rPr>
                <w:rFonts w:ascii="Arial" w:hAnsi="Arial" w:cs="Arial"/>
                <w:sz w:val="20"/>
                <w:szCs w:val="20"/>
              </w:rPr>
              <w:t>10</w:t>
            </w:r>
          </w:p>
        </w:tc>
        <w:tc>
          <w:tcPr>
            <w:tcW w:w="8621" w:type="dxa"/>
            <w:shd w:val="clear" w:color="auto" w:fill="BDD6EE" w:themeFill="accent1" w:themeFillTint="66"/>
          </w:tcPr>
          <w:p w14:paraId="0A7D3368" w14:textId="190AB4FD" w:rsidR="00643B86" w:rsidRPr="0090375C" w:rsidRDefault="001C54F9" w:rsidP="003F05B8">
            <w:pPr>
              <w:pStyle w:val="Default"/>
              <w:spacing w:before="60" w:after="60"/>
              <w:rPr>
                <w:rFonts w:ascii="Arial" w:hAnsi="Arial" w:cs="Arial"/>
                <w:sz w:val="20"/>
                <w:szCs w:val="20"/>
              </w:rPr>
            </w:pPr>
            <w:r>
              <w:rPr>
                <w:rFonts w:ascii="Arial" w:hAnsi="Arial" w:cs="Arial"/>
                <w:sz w:val="20"/>
                <w:szCs w:val="20"/>
              </w:rPr>
              <w:t xml:space="preserve">The Consultant should seek to </w:t>
            </w:r>
            <w:r w:rsidR="00643B86">
              <w:rPr>
                <w:rFonts w:ascii="Arial" w:hAnsi="Arial" w:cs="Arial"/>
                <w:sz w:val="20"/>
                <w:szCs w:val="20"/>
              </w:rPr>
              <w:t xml:space="preserve">obtain the Client’s approval prior to purchasing </w:t>
            </w:r>
            <w:r>
              <w:rPr>
                <w:rFonts w:ascii="Arial" w:hAnsi="Arial" w:cs="Arial"/>
                <w:sz w:val="20"/>
                <w:szCs w:val="20"/>
              </w:rPr>
              <w:t xml:space="preserve">incidental </w:t>
            </w:r>
            <w:r w:rsidR="00643B86">
              <w:rPr>
                <w:rFonts w:ascii="Arial" w:hAnsi="Arial" w:cs="Arial"/>
                <w:sz w:val="20"/>
                <w:szCs w:val="20"/>
              </w:rPr>
              <w:t>goods and always when purchasing services. The Client may have preferred suppliers and, in the case of services, may believe those services</w:t>
            </w:r>
            <w:r>
              <w:rPr>
                <w:rFonts w:ascii="Arial" w:hAnsi="Arial" w:cs="Arial"/>
                <w:sz w:val="20"/>
                <w:szCs w:val="20"/>
              </w:rPr>
              <w:t xml:space="preserve"> form part of the Services the Consultant was undertaking. In</w:t>
            </w:r>
            <w:r w:rsidR="00643B86">
              <w:rPr>
                <w:rFonts w:ascii="Arial" w:hAnsi="Arial" w:cs="Arial"/>
                <w:sz w:val="20"/>
                <w:szCs w:val="20"/>
              </w:rPr>
              <w:t xml:space="preserve"> </w:t>
            </w:r>
            <w:r w:rsidR="00D0358D">
              <w:rPr>
                <w:rFonts w:ascii="Arial" w:hAnsi="Arial" w:cs="Arial"/>
                <w:sz w:val="20"/>
                <w:szCs w:val="20"/>
              </w:rPr>
              <w:t>such</w:t>
            </w:r>
            <w:r w:rsidR="00643B86">
              <w:rPr>
                <w:rFonts w:ascii="Arial" w:hAnsi="Arial" w:cs="Arial"/>
                <w:sz w:val="20"/>
                <w:szCs w:val="20"/>
              </w:rPr>
              <w:t xml:space="preserve"> cases</w:t>
            </w:r>
            <w:r w:rsidR="00086B39">
              <w:rPr>
                <w:rFonts w:ascii="Arial" w:hAnsi="Arial" w:cs="Arial"/>
                <w:sz w:val="20"/>
                <w:szCs w:val="20"/>
              </w:rPr>
              <w:t>,</w:t>
            </w:r>
            <w:r w:rsidR="00643B86">
              <w:rPr>
                <w:rFonts w:ascii="Arial" w:hAnsi="Arial" w:cs="Arial"/>
                <w:sz w:val="20"/>
                <w:szCs w:val="20"/>
              </w:rPr>
              <w:t xml:space="preserve"> early </w:t>
            </w:r>
            <w:r>
              <w:rPr>
                <w:rFonts w:ascii="Arial" w:hAnsi="Arial" w:cs="Arial"/>
                <w:sz w:val="20"/>
                <w:szCs w:val="20"/>
              </w:rPr>
              <w:t xml:space="preserve">consultation </w:t>
            </w:r>
            <w:r w:rsidR="00643B86">
              <w:rPr>
                <w:rFonts w:ascii="Arial" w:hAnsi="Arial" w:cs="Arial"/>
                <w:sz w:val="20"/>
                <w:szCs w:val="20"/>
              </w:rPr>
              <w:t>between the parties will avoid a dispute later.</w:t>
            </w:r>
          </w:p>
        </w:tc>
      </w:tr>
      <w:tr w:rsidR="00643B86" w14:paraId="510A7B88" w14:textId="77777777" w:rsidTr="00D532C2">
        <w:trPr>
          <w:cantSplit/>
        </w:trPr>
        <w:tc>
          <w:tcPr>
            <w:tcW w:w="872" w:type="dxa"/>
          </w:tcPr>
          <w:p w14:paraId="61D366DE" w14:textId="77777777" w:rsidR="00643B86" w:rsidRDefault="00C80AFB" w:rsidP="003F05B8">
            <w:pPr>
              <w:spacing w:before="60" w:after="60"/>
              <w:rPr>
                <w:rFonts w:ascii="Arial" w:hAnsi="Arial" w:cs="Arial"/>
                <w:sz w:val="20"/>
                <w:szCs w:val="20"/>
              </w:rPr>
            </w:pPr>
            <w:r>
              <w:rPr>
                <w:rFonts w:ascii="Arial" w:hAnsi="Arial" w:cs="Arial"/>
                <w:sz w:val="20"/>
                <w:szCs w:val="20"/>
              </w:rPr>
              <w:lastRenderedPageBreak/>
              <w:t>11 &amp; 12</w:t>
            </w:r>
          </w:p>
        </w:tc>
        <w:tc>
          <w:tcPr>
            <w:tcW w:w="8621" w:type="dxa"/>
          </w:tcPr>
          <w:p w14:paraId="0701DABD" w14:textId="7BECFF26" w:rsidR="001C54F9" w:rsidRDefault="00C80AFB" w:rsidP="003F05B8">
            <w:pPr>
              <w:pStyle w:val="Default"/>
              <w:spacing w:before="60" w:after="60"/>
              <w:rPr>
                <w:rFonts w:ascii="Arial" w:hAnsi="Arial" w:cs="Arial"/>
                <w:sz w:val="20"/>
                <w:szCs w:val="20"/>
              </w:rPr>
            </w:pPr>
            <w:r>
              <w:rPr>
                <w:rFonts w:ascii="Arial" w:hAnsi="Arial" w:cs="Arial"/>
                <w:sz w:val="20"/>
                <w:szCs w:val="20"/>
              </w:rPr>
              <w:t xml:space="preserve">Where </w:t>
            </w:r>
            <w:r w:rsidR="001C54F9">
              <w:rPr>
                <w:rFonts w:ascii="Arial" w:hAnsi="Arial" w:cs="Arial"/>
                <w:sz w:val="20"/>
                <w:szCs w:val="20"/>
              </w:rPr>
              <w:t xml:space="preserve">the Consultant breaches </w:t>
            </w:r>
            <w:r>
              <w:rPr>
                <w:rFonts w:ascii="Arial" w:hAnsi="Arial" w:cs="Arial"/>
                <w:sz w:val="20"/>
                <w:szCs w:val="20"/>
              </w:rPr>
              <w:t>the Agre</w:t>
            </w:r>
            <w:r w:rsidR="003F05B8">
              <w:rPr>
                <w:rFonts w:ascii="Arial" w:hAnsi="Arial" w:cs="Arial"/>
                <w:sz w:val="20"/>
                <w:szCs w:val="20"/>
              </w:rPr>
              <w:t>e</w:t>
            </w:r>
            <w:r>
              <w:rPr>
                <w:rFonts w:ascii="Arial" w:hAnsi="Arial" w:cs="Arial"/>
                <w:sz w:val="20"/>
                <w:szCs w:val="20"/>
              </w:rPr>
              <w:t xml:space="preserve">ment, e.g. </w:t>
            </w:r>
            <w:r w:rsidR="001C54F9">
              <w:rPr>
                <w:rFonts w:ascii="Arial" w:hAnsi="Arial" w:cs="Arial"/>
                <w:sz w:val="20"/>
                <w:szCs w:val="20"/>
              </w:rPr>
              <w:t xml:space="preserve">is </w:t>
            </w:r>
            <w:r w:rsidR="007F5DF5">
              <w:rPr>
                <w:rFonts w:ascii="Arial" w:hAnsi="Arial" w:cs="Arial"/>
                <w:sz w:val="20"/>
                <w:szCs w:val="20"/>
              </w:rPr>
              <w:t xml:space="preserve">negligent in performing the Services, </w:t>
            </w:r>
            <w:r w:rsidR="001C54F9">
              <w:rPr>
                <w:rFonts w:ascii="Arial" w:hAnsi="Arial" w:cs="Arial"/>
                <w:sz w:val="20"/>
                <w:szCs w:val="20"/>
              </w:rPr>
              <w:t xml:space="preserve">the Consultant is </w:t>
            </w:r>
            <w:r w:rsidR="007F5DF5">
              <w:rPr>
                <w:rFonts w:ascii="Arial" w:hAnsi="Arial" w:cs="Arial"/>
                <w:sz w:val="20"/>
                <w:szCs w:val="20"/>
              </w:rPr>
              <w:t>liable for the Client’s losses</w:t>
            </w:r>
            <w:r w:rsidR="001C54F9">
              <w:rPr>
                <w:rFonts w:ascii="Arial" w:hAnsi="Arial" w:cs="Arial"/>
                <w:sz w:val="20"/>
                <w:szCs w:val="20"/>
              </w:rPr>
              <w:t xml:space="preserve"> caused directly by the breach</w:t>
            </w:r>
            <w:r w:rsidR="007F5DF5">
              <w:rPr>
                <w:rFonts w:ascii="Arial" w:hAnsi="Arial" w:cs="Arial"/>
                <w:sz w:val="20"/>
                <w:szCs w:val="20"/>
              </w:rPr>
              <w:t xml:space="preserve">. </w:t>
            </w:r>
          </w:p>
          <w:p w14:paraId="5B88EA28" w14:textId="77777777" w:rsidR="001C54F9" w:rsidRDefault="001C54F9" w:rsidP="003F05B8">
            <w:pPr>
              <w:pStyle w:val="Default"/>
              <w:spacing w:before="60" w:after="60"/>
              <w:rPr>
                <w:rFonts w:ascii="Arial" w:hAnsi="Arial" w:cs="Arial"/>
                <w:sz w:val="20"/>
                <w:szCs w:val="20"/>
              </w:rPr>
            </w:pPr>
            <w:r>
              <w:rPr>
                <w:rFonts w:ascii="Arial" w:hAnsi="Arial" w:cs="Arial"/>
                <w:sz w:val="20"/>
                <w:szCs w:val="20"/>
              </w:rPr>
              <w:t>However, these clauses also:</w:t>
            </w:r>
          </w:p>
          <w:p w14:paraId="33DCA281" w14:textId="5F0922C0" w:rsidR="00643B86" w:rsidRDefault="00806E78" w:rsidP="00071ECC">
            <w:pPr>
              <w:pStyle w:val="Default"/>
              <w:numPr>
                <w:ilvl w:val="0"/>
                <w:numId w:val="2"/>
              </w:numPr>
              <w:spacing w:before="60" w:after="60"/>
              <w:rPr>
                <w:rFonts w:ascii="Arial" w:hAnsi="Arial" w:cs="Arial"/>
                <w:sz w:val="20"/>
                <w:szCs w:val="20"/>
              </w:rPr>
            </w:pPr>
            <w:r>
              <w:rPr>
                <w:rFonts w:ascii="Arial" w:hAnsi="Arial" w:cs="Arial"/>
                <w:sz w:val="20"/>
                <w:szCs w:val="20"/>
              </w:rPr>
              <w:t>limit</w:t>
            </w:r>
            <w:r w:rsidR="001C54F9">
              <w:rPr>
                <w:rFonts w:ascii="Arial" w:hAnsi="Arial" w:cs="Arial"/>
                <w:sz w:val="20"/>
                <w:szCs w:val="20"/>
              </w:rPr>
              <w:t xml:space="preserve"> the Consultant’s liability to </w:t>
            </w:r>
            <w:r w:rsidR="00071ECC">
              <w:rPr>
                <w:rFonts w:ascii="Arial" w:hAnsi="Arial" w:cs="Arial"/>
                <w:sz w:val="20"/>
                <w:szCs w:val="20"/>
              </w:rPr>
              <w:t>five</w:t>
            </w:r>
            <w:r w:rsidR="001C54F9">
              <w:rPr>
                <w:rFonts w:ascii="Arial" w:hAnsi="Arial" w:cs="Arial"/>
                <w:sz w:val="20"/>
                <w:szCs w:val="20"/>
              </w:rPr>
              <w:t xml:space="preserve"> times the fee with a minimum cap of $100k and </w:t>
            </w:r>
            <w:r w:rsidR="00086B39">
              <w:rPr>
                <w:rFonts w:ascii="Arial" w:hAnsi="Arial" w:cs="Arial"/>
                <w:sz w:val="20"/>
                <w:szCs w:val="20"/>
              </w:rPr>
              <w:t xml:space="preserve">a </w:t>
            </w:r>
            <w:r w:rsidR="001C54F9">
              <w:rPr>
                <w:rFonts w:ascii="Arial" w:hAnsi="Arial" w:cs="Arial"/>
                <w:sz w:val="20"/>
                <w:szCs w:val="20"/>
              </w:rPr>
              <w:t>maximum cap of $500k.</w:t>
            </w:r>
            <w:r>
              <w:rPr>
                <w:rFonts w:ascii="Arial" w:hAnsi="Arial" w:cs="Arial"/>
                <w:sz w:val="20"/>
                <w:szCs w:val="20"/>
              </w:rPr>
              <w:t xml:space="preserve"> The minimum cap has been introduced in recognition that the Consultant, as a consultancy professional, is expected to have a fair and reasonable level of responsibility even for minor engagements</w:t>
            </w:r>
            <w:r w:rsidR="007F5DF5">
              <w:rPr>
                <w:rFonts w:ascii="Arial" w:hAnsi="Arial" w:cs="Arial"/>
                <w:sz w:val="20"/>
                <w:szCs w:val="20"/>
              </w:rPr>
              <w:t xml:space="preserve">. Note that this minimum does not mean that the least </w:t>
            </w:r>
            <w:r w:rsidR="00071ECC">
              <w:rPr>
                <w:rFonts w:ascii="Arial" w:hAnsi="Arial" w:cs="Arial"/>
                <w:sz w:val="20"/>
                <w:szCs w:val="20"/>
              </w:rPr>
              <w:t>the Consultant</w:t>
            </w:r>
            <w:r w:rsidR="007F5DF5">
              <w:rPr>
                <w:rFonts w:ascii="Arial" w:hAnsi="Arial" w:cs="Arial"/>
                <w:sz w:val="20"/>
                <w:szCs w:val="20"/>
              </w:rPr>
              <w:t xml:space="preserve"> could have to pay would be $100,000. The Client would have to justify the amount of its loss</w:t>
            </w:r>
            <w:r w:rsidR="00086B39">
              <w:rPr>
                <w:rFonts w:ascii="Arial" w:hAnsi="Arial" w:cs="Arial"/>
                <w:sz w:val="20"/>
                <w:szCs w:val="20"/>
              </w:rPr>
              <w:t>,</w:t>
            </w:r>
            <w:r w:rsidR="007F5DF5">
              <w:rPr>
                <w:rFonts w:ascii="Arial" w:hAnsi="Arial" w:cs="Arial"/>
                <w:sz w:val="20"/>
                <w:szCs w:val="20"/>
              </w:rPr>
              <w:t xml:space="preserve"> which could be less than $100,000.</w:t>
            </w:r>
          </w:p>
          <w:p w14:paraId="061E3CAD" w14:textId="677F5761" w:rsidR="001C54F9" w:rsidRDefault="001C54F9" w:rsidP="00071ECC">
            <w:pPr>
              <w:pStyle w:val="Default"/>
              <w:numPr>
                <w:ilvl w:val="0"/>
                <w:numId w:val="2"/>
              </w:numPr>
              <w:spacing w:before="60" w:after="60"/>
              <w:rPr>
                <w:rFonts w:ascii="Arial" w:hAnsi="Arial" w:cs="Arial"/>
                <w:sz w:val="20"/>
                <w:szCs w:val="20"/>
              </w:rPr>
            </w:pPr>
            <w:r>
              <w:rPr>
                <w:rFonts w:ascii="Arial" w:hAnsi="Arial" w:cs="Arial"/>
                <w:sz w:val="20"/>
                <w:szCs w:val="20"/>
              </w:rPr>
              <w:t xml:space="preserve">exclude the Consultant’s liability for </w:t>
            </w:r>
            <w:r w:rsidR="00806E78">
              <w:rPr>
                <w:rFonts w:ascii="Arial" w:hAnsi="Arial" w:cs="Arial"/>
                <w:sz w:val="20"/>
                <w:szCs w:val="20"/>
              </w:rPr>
              <w:t>the Client’s</w:t>
            </w:r>
            <w:r>
              <w:rPr>
                <w:rFonts w:ascii="Arial" w:hAnsi="Arial" w:cs="Arial"/>
                <w:sz w:val="20"/>
                <w:szCs w:val="20"/>
              </w:rPr>
              <w:t xml:space="preserve"> </w:t>
            </w:r>
            <w:r w:rsidR="00806E78">
              <w:rPr>
                <w:rFonts w:ascii="Arial" w:hAnsi="Arial" w:cs="Arial"/>
                <w:sz w:val="20"/>
                <w:szCs w:val="20"/>
              </w:rPr>
              <w:t xml:space="preserve">indirect or </w:t>
            </w:r>
            <w:r w:rsidR="00806E78" w:rsidRPr="00806E78">
              <w:rPr>
                <w:rFonts w:ascii="Arial" w:hAnsi="Arial" w:cs="Arial"/>
                <w:sz w:val="20"/>
                <w:szCs w:val="20"/>
              </w:rPr>
              <w:t>consequential</w:t>
            </w:r>
            <w:r w:rsidR="00806E78">
              <w:rPr>
                <w:rFonts w:ascii="Arial" w:hAnsi="Arial" w:cs="Arial"/>
                <w:sz w:val="20"/>
                <w:szCs w:val="20"/>
              </w:rPr>
              <w:t xml:space="preserve"> loss.</w:t>
            </w:r>
          </w:p>
        </w:tc>
      </w:tr>
      <w:tr w:rsidR="00130E52" w14:paraId="59EECA62" w14:textId="77777777" w:rsidTr="00850D39">
        <w:tc>
          <w:tcPr>
            <w:tcW w:w="872" w:type="dxa"/>
            <w:shd w:val="clear" w:color="auto" w:fill="BDD6EE" w:themeFill="accent1" w:themeFillTint="66"/>
          </w:tcPr>
          <w:p w14:paraId="1A320393" w14:textId="77777777" w:rsidR="00130E52" w:rsidRDefault="003F05B8" w:rsidP="003F05B8">
            <w:pPr>
              <w:spacing w:before="60" w:after="60"/>
              <w:rPr>
                <w:rFonts w:ascii="Arial" w:hAnsi="Arial" w:cs="Arial"/>
                <w:sz w:val="20"/>
                <w:szCs w:val="20"/>
              </w:rPr>
            </w:pPr>
            <w:r>
              <w:rPr>
                <w:rFonts w:ascii="Arial" w:hAnsi="Arial" w:cs="Arial"/>
                <w:sz w:val="20"/>
                <w:szCs w:val="20"/>
              </w:rPr>
              <w:t>13</w:t>
            </w:r>
            <w:r w:rsidR="00684B05">
              <w:rPr>
                <w:rFonts w:ascii="Arial" w:hAnsi="Arial" w:cs="Arial"/>
                <w:sz w:val="20"/>
                <w:szCs w:val="20"/>
              </w:rPr>
              <w:t xml:space="preserve"> &amp; 14</w:t>
            </w:r>
          </w:p>
        </w:tc>
        <w:tc>
          <w:tcPr>
            <w:tcW w:w="8621" w:type="dxa"/>
            <w:shd w:val="clear" w:color="auto" w:fill="BDD6EE" w:themeFill="accent1" w:themeFillTint="66"/>
          </w:tcPr>
          <w:p w14:paraId="0BBFD8DA" w14:textId="263BE359" w:rsidR="00130E52" w:rsidRDefault="00806E78" w:rsidP="003F05B8">
            <w:pPr>
              <w:pStyle w:val="Default"/>
              <w:spacing w:before="60" w:after="60"/>
              <w:rPr>
                <w:rFonts w:ascii="Arial" w:hAnsi="Arial" w:cs="Arial"/>
                <w:sz w:val="20"/>
                <w:szCs w:val="20"/>
              </w:rPr>
            </w:pPr>
            <w:r>
              <w:rPr>
                <w:rFonts w:ascii="Arial" w:hAnsi="Arial" w:cs="Arial"/>
                <w:sz w:val="20"/>
                <w:szCs w:val="20"/>
              </w:rPr>
              <w:t xml:space="preserve">The Consultant’s </w:t>
            </w:r>
            <w:r w:rsidR="003F05B8">
              <w:rPr>
                <w:rFonts w:ascii="Arial" w:hAnsi="Arial" w:cs="Arial"/>
                <w:sz w:val="20"/>
                <w:szCs w:val="20"/>
              </w:rPr>
              <w:t xml:space="preserve">liability </w:t>
            </w:r>
            <w:r>
              <w:rPr>
                <w:rFonts w:ascii="Arial" w:hAnsi="Arial" w:cs="Arial"/>
                <w:sz w:val="20"/>
                <w:szCs w:val="20"/>
              </w:rPr>
              <w:t xml:space="preserve">in connection with </w:t>
            </w:r>
            <w:r w:rsidR="003F05B8">
              <w:rPr>
                <w:rFonts w:ascii="Arial" w:hAnsi="Arial" w:cs="Arial"/>
                <w:sz w:val="20"/>
                <w:szCs w:val="20"/>
              </w:rPr>
              <w:t>the Agreement extends for a period of six years from the date of completion of the Services</w:t>
            </w:r>
            <w:r>
              <w:rPr>
                <w:rFonts w:ascii="Arial" w:hAnsi="Arial" w:cs="Arial"/>
                <w:sz w:val="20"/>
                <w:szCs w:val="20"/>
              </w:rPr>
              <w:t>.</w:t>
            </w:r>
            <w:r w:rsidR="00071ECC">
              <w:rPr>
                <w:rFonts w:ascii="Arial" w:hAnsi="Arial" w:cs="Arial"/>
                <w:sz w:val="20"/>
                <w:szCs w:val="20"/>
              </w:rPr>
              <w:t xml:space="preserve"> </w:t>
            </w:r>
            <w:r>
              <w:rPr>
                <w:rFonts w:ascii="Arial" w:hAnsi="Arial" w:cs="Arial"/>
                <w:sz w:val="20"/>
                <w:szCs w:val="20"/>
              </w:rPr>
              <w:t xml:space="preserve">The Consultant must </w:t>
            </w:r>
            <w:r w:rsidR="006F758D">
              <w:rPr>
                <w:rFonts w:ascii="Arial" w:hAnsi="Arial" w:cs="Arial"/>
                <w:sz w:val="20"/>
                <w:szCs w:val="20"/>
              </w:rPr>
              <w:t xml:space="preserve">use all reasonable endeavours to </w:t>
            </w:r>
            <w:r w:rsidR="003F05B8">
              <w:rPr>
                <w:rFonts w:ascii="Arial" w:hAnsi="Arial" w:cs="Arial"/>
                <w:sz w:val="20"/>
                <w:szCs w:val="20"/>
              </w:rPr>
              <w:t>maintain</w:t>
            </w:r>
            <w:r>
              <w:rPr>
                <w:rFonts w:ascii="Arial" w:hAnsi="Arial" w:cs="Arial"/>
                <w:sz w:val="20"/>
                <w:szCs w:val="20"/>
              </w:rPr>
              <w:t xml:space="preserve"> professional indemnity</w:t>
            </w:r>
            <w:r w:rsidR="003F05B8">
              <w:rPr>
                <w:rFonts w:ascii="Arial" w:hAnsi="Arial" w:cs="Arial"/>
                <w:sz w:val="20"/>
                <w:szCs w:val="20"/>
              </w:rPr>
              <w:t xml:space="preserve"> insurance for </w:t>
            </w:r>
            <w:r>
              <w:rPr>
                <w:rFonts w:ascii="Arial" w:hAnsi="Arial" w:cs="Arial"/>
                <w:sz w:val="20"/>
                <w:szCs w:val="20"/>
              </w:rPr>
              <w:t>at least</w:t>
            </w:r>
            <w:r w:rsidR="008B7A9E">
              <w:rPr>
                <w:rFonts w:ascii="Arial" w:hAnsi="Arial" w:cs="Arial"/>
                <w:sz w:val="20"/>
                <w:szCs w:val="20"/>
              </w:rPr>
              <w:t xml:space="preserve"> this</w:t>
            </w:r>
            <w:r>
              <w:rPr>
                <w:rFonts w:ascii="Arial" w:hAnsi="Arial" w:cs="Arial"/>
                <w:sz w:val="20"/>
                <w:szCs w:val="20"/>
              </w:rPr>
              <w:t xml:space="preserve"> </w:t>
            </w:r>
            <w:r w:rsidR="003F05B8">
              <w:rPr>
                <w:rFonts w:ascii="Arial" w:hAnsi="Arial" w:cs="Arial"/>
                <w:sz w:val="20"/>
                <w:szCs w:val="20"/>
              </w:rPr>
              <w:t xml:space="preserve">period. While </w:t>
            </w:r>
            <w:r>
              <w:rPr>
                <w:rFonts w:ascii="Arial" w:hAnsi="Arial" w:cs="Arial"/>
                <w:sz w:val="20"/>
                <w:szCs w:val="20"/>
              </w:rPr>
              <w:t xml:space="preserve">the Consultant is </w:t>
            </w:r>
            <w:r w:rsidR="003F05B8">
              <w:rPr>
                <w:rFonts w:ascii="Arial" w:hAnsi="Arial" w:cs="Arial"/>
                <w:sz w:val="20"/>
                <w:szCs w:val="20"/>
              </w:rPr>
              <w:t>in business</w:t>
            </w:r>
            <w:r>
              <w:rPr>
                <w:rFonts w:ascii="Arial" w:hAnsi="Arial" w:cs="Arial"/>
                <w:sz w:val="20"/>
                <w:szCs w:val="20"/>
              </w:rPr>
              <w:t>,</w:t>
            </w:r>
            <w:r w:rsidR="003F05B8">
              <w:rPr>
                <w:rFonts w:ascii="Arial" w:hAnsi="Arial" w:cs="Arial"/>
                <w:sz w:val="20"/>
                <w:szCs w:val="20"/>
              </w:rPr>
              <w:t xml:space="preserve"> this should be the case anyway. If you are closing you</w:t>
            </w:r>
            <w:r w:rsidR="00264535">
              <w:rPr>
                <w:rFonts w:ascii="Arial" w:hAnsi="Arial" w:cs="Arial"/>
                <w:sz w:val="20"/>
                <w:szCs w:val="20"/>
              </w:rPr>
              <w:t>r</w:t>
            </w:r>
            <w:r w:rsidR="003F05B8">
              <w:rPr>
                <w:rFonts w:ascii="Arial" w:hAnsi="Arial" w:cs="Arial"/>
                <w:sz w:val="20"/>
                <w:szCs w:val="20"/>
              </w:rPr>
              <w:t xml:space="preserve"> business and/or retiring, you can purchase “run-off” insurance to cover this period of liability. Talk to your </w:t>
            </w:r>
            <w:r w:rsidR="00D0358D">
              <w:rPr>
                <w:rFonts w:ascii="Arial" w:hAnsi="Arial" w:cs="Arial"/>
                <w:sz w:val="20"/>
                <w:szCs w:val="20"/>
              </w:rPr>
              <w:t>broker</w:t>
            </w:r>
            <w:r w:rsidR="003F05B8">
              <w:rPr>
                <w:rFonts w:ascii="Arial" w:hAnsi="Arial" w:cs="Arial"/>
                <w:sz w:val="20"/>
                <w:szCs w:val="20"/>
              </w:rPr>
              <w:t xml:space="preserve"> about this.</w:t>
            </w:r>
          </w:p>
        </w:tc>
      </w:tr>
      <w:tr w:rsidR="003F05B8" w14:paraId="126E6BB5" w14:textId="77777777" w:rsidTr="00BE18A4">
        <w:tc>
          <w:tcPr>
            <w:tcW w:w="872" w:type="dxa"/>
          </w:tcPr>
          <w:p w14:paraId="38D6EB5E" w14:textId="77777777" w:rsidR="003F05B8" w:rsidRDefault="00264535" w:rsidP="003F05B8">
            <w:pPr>
              <w:spacing w:before="60" w:after="60"/>
              <w:rPr>
                <w:rFonts w:ascii="Arial" w:hAnsi="Arial" w:cs="Arial"/>
                <w:sz w:val="20"/>
                <w:szCs w:val="20"/>
              </w:rPr>
            </w:pPr>
            <w:r>
              <w:rPr>
                <w:rFonts w:ascii="Arial" w:hAnsi="Arial" w:cs="Arial"/>
                <w:sz w:val="20"/>
                <w:szCs w:val="20"/>
              </w:rPr>
              <w:t>15</w:t>
            </w:r>
          </w:p>
        </w:tc>
        <w:tc>
          <w:tcPr>
            <w:tcW w:w="8621" w:type="dxa"/>
          </w:tcPr>
          <w:p w14:paraId="28103FDB" w14:textId="7C8719F4" w:rsidR="003F05B8" w:rsidRDefault="00264535" w:rsidP="003F05B8">
            <w:pPr>
              <w:pStyle w:val="Default"/>
              <w:spacing w:before="60" w:after="60"/>
              <w:rPr>
                <w:rFonts w:ascii="Arial" w:hAnsi="Arial" w:cs="Arial"/>
                <w:sz w:val="20"/>
                <w:szCs w:val="20"/>
              </w:rPr>
            </w:pPr>
            <w:r>
              <w:rPr>
                <w:rFonts w:ascii="Arial" w:hAnsi="Arial" w:cs="Arial"/>
                <w:sz w:val="20"/>
                <w:szCs w:val="20"/>
              </w:rPr>
              <w:t xml:space="preserve">New Zealand does not have proportionate liability </w:t>
            </w:r>
            <w:r w:rsidR="006F758D">
              <w:rPr>
                <w:rFonts w:ascii="Arial" w:hAnsi="Arial" w:cs="Arial"/>
                <w:sz w:val="20"/>
                <w:szCs w:val="20"/>
              </w:rPr>
              <w:t xml:space="preserve">legislation - </w:t>
            </w:r>
            <w:r>
              <w:rPr>
                <w:rFonts w:ascii="Arial" w:hAnsi="Arial" w:cs="Arial"/>
                <w:sz w:val="20"/>
                <w:szCs w:val="20"/>
              </w:rPr>
              <w:t xml:space="preserve">so that if </w:t>
            </w:r>
            <w:r w:rsidR="006F758D">
              <w:rPr>
                <w:rFonts w:ascii="Arial" w:hAnsi="Arial" w:cs="Arial"/>
                <w:sz w:val="20"/>
                <w:szCs w:val="20"/>
              </w:rPr>
              <w:t xml:space="preserve">other parties, in addition to the Consultant, </w:t>
            </w:r>
            <w:r w:rsidR="00910B8A">
              <w:rPr>
                <w:rFonts w:ascii="Arial" w:hAnsi="Arial" w:cs="Arial"/>
                <w:sz w:val="20"/>
                <w:szCs w:val="20"/>
              </w:rPr>
              <w:t xml:space="preserve">that </w:t>
            </w:r>
            <w:r w:rsidR="006F758D">
              <w:rPr>
                <w:rFonts w:ascii="Arial" w:hAnsi="Arial" w:cs="Arial"/>
                <w:sz w:val="20"/>
                <w:szCs w:val="20"/>
              </w:rPr>
              <w:t xml:space="preserve">have </w:t>
            </w:r>
            <w:r>
              <w:rPr>
                <w:rFonts w:ascii="Arial" w:hAnsi="Arial" w:cs="Arial"/>
                <w:sz w:val="20"/>
                <w:szCs w:val="20"/>
              </w:rPr>
              <w:t xml:space="preserve">contributed to </w:t>
            </w:r>
            <w:r w:rsidR="006F758D">
              <w:rPr>
                <w:rFonts w:ascii="Arial" w:hAnsi="Arial" w:cs="Arial"/>
                <w:sz w:val="20"/>
                <w:szCs w:val="20"/>
              </w:rPr>
              <w:t>the Client’s</w:t>
            </w:r>
            <w:r>
              <w:rPr>
                <w:rFonts w:ascii="Arial" w:hAnsi="Arial" w:cs="Arial"/>
                <w:sz w:val="20"/>
                <w:szCs w:val="20"/>
              </w:rPr>
              <w:t xml:space="preserve"> loss</w:t>
            </w:r>
            <w:r w:rsidR="006F758D">
              <w:rPr>
                <w:rFonts w:ascii="Arial" w:hAnsi="Arial" w:cs="Arial"/>
                <w:sz w:val="20"/>
                <w:szCs w:val="20"/>
              </w:rPr>
              <w:t xml:space="preserve">es, the Consultant </w:t>
            </w:r>
            <w:r>
              <w:rPr>
                <w:rFonts w:ascii="Arial" w:hAnsi="Arial" w:cs="Arial"/>
                <w:sz w:val="20"/>
                <w:szCs w:val="20"/>
              </w:rPr>
              <w:t xml:space="preserve">could </w:t>
            </w:r>
            <w:r w:rsidR="006F758D">
              <w:rPr>
                <w:rFonts w:ascii="Arial" w:hAnsi="Arial" w:cs="Arial"/>
                <w:sz w:val="20"/>
                <w:szCs w:val="20"/>
              </w:rPr>
              <w:t xml:space="preserve">still </w:t>
            </w:r>
            <w:r>
              <w:rPr>
                <w:rFonts w:ascii="Arial" w:hAnsi="Arial" w:cs="Arial"/>
                <w:sz w:val="20"/>
                <w:szCs w:val="20"/>
              </w:rPr>
              <w:t>be held liable for the entire loss</w:t>
            </w:r>
            <w:r w:rsidR="006F758D">
              <w:rPr>
                <w:rFonts w:ascii="Arial" w:hAnsi="Arial" w:cs="Arial"/>
                <w:sz w:val="20"/>
                <w:szCs w:val="20"/>
              </w:rPr>
              <w:t xml:space="preserve">es (e.g. if other contributing parties are no longer around or </w:t>
            </w:r>
            <w:r w:rsidR="008B7A9E">
              <w:rPr>
                <w:rFonts w:ascii="Arial" w:hAnsi="Arial" w:cs="Arial"/>
                <w:sz w:val="20"/>
                <w:szCs w:val="20"/>
              </w:rPr>
              <w:t>in</w:t>
            </w:r>
            <w:r w:rsidR="006F758D">
              <w:rPr>
                <w:rFonts w:ascii="Arial" w:hAnsi="Arial" w:cs="Arial"/>
                <w:sz w:val="20"/>
                <w:szCs w:val="20"/>
              </w:rPr>
              <w:t>solvent)</w:t>
            </w:r>
            <w:r>
              <w:rPr>
                <w:rFonts w:ascii="Arial" w:hAnsi="Arial" w:cs="Arial"/>
                <w:sz w:val="20"/>
                <w:szCs w:val="20"/>
              </w:rPr>
              <w:t>. However, this clause seeks to amend this by</w:t>
            </w:r>
            <w:r w:rsidR="006F758D">
              <w:rPr>
                <w:rFonts w:ascii="Arial" w:hAnsi="Arial" w:cs="Arial"/>
                <w:sz w:val="20"/>
                <w:szCs w:val="20"/>
              </w:rPr>
              <w:t xml:space="preserve"> providing the Consultant is only liable to the </w:t>
            </w:r>
            <w:r w:rsidR="006F758D" w:rsidRPr="006F758D">
              <w:rPr>
                <w:rFonts w:ascii="Arial" w:hAnsi="Arial" w:cs="Arial"/>
                <w:sz w:val="20"/>
                <w:szCs w:val="20"/>
              </w:rPr>
              <w:t>proportional extent of its own contribution</w:t>
            </w:r>
            <w:r>
              <w:rPr>
                <w:rFonts w:ascii="Arial" w:hAnsi="Arial" w:cs="Arial"/>
                <w:sz w:val="20"/>
                <w:szCs w:val="20"/>
              </w:rPr>
              <w:t>.</w:t>
            </w:r>
          </w:p>
        </w:tc>
      </w:tr>
      <w:tr w:rsidR="00264535" w14:paraId="3ABC1620" w14:textId="77777777" w:rsidTr="00850D39">
        <w:tc>
          <w:tcPr>
            <w:tcW w:w="872" w:type="dxa"/>
            <w:shd w:val="clear" w:color="auto" w:fill="BDD6EE" w:themeFill="accent1" w:themeFillTint="66"/>
          </w:tcPr>
          <w:p w14:paraId="3126CC9B" w14:textId="77777777" w:rsidR="00264535" w:rsidRDefault="00264535" w:rsidP="003F05B8">
            <w:pPr>
              <w:spacing w:before="60" w:after="60"/>
              <w:rPr>
                <w:rFonts w:ascii="Arial" w:hAnsi="Arial" w:cs="Arial"/>
                <w:sz w:val="20"/>
                <w:szCs w:val="20"/>
              </w:rPr>
            </w:pPr>
            <w:r>
              <w:rPr>
                <w:rFonts w:ascii="Arial" w:hAnsi="Arial" w:cs="Arial"/>
                <w:sz w:val="20"/>
                <w:szCs w:val="20"/>
              </w:rPr>
              <w:t>16</w:t>
            </w:r>
          </w:p>
        </w:tc>
        <w:tc>
          <w:tcPr>
            <w:tcW w:w="8621" w:type="dxa"/>
            <w:shd w:val="clear" w:color="auto" w:fill="BDD6EE" w:themeFill="accent1" w:themeFillTint="66"/>
          </w:tcPr>
          <w:p w14:paraId="38842595" w14:textId="2F93FAEA" w:rsidR="00B55E7D" w:rsidRDefault="00264535" w:rsidP="003F05B8">
            <w:pPr>
              <w:pStyle w:val="Default"/>
              <w:spacing w:before="60" w:after="60"/>
              <w:rPr>
                <w:rFonts w:ascii="Arial" w:hAnsi="Arial" w:cs="Arial"/>
                <w:sz w:val="20"/>
                <w:szCs w:val="20"/>
              </w:rPr>
            </w:pPr>
            <w:r>
              <w:rPr>
                <w:rFonts w:ascii="Arial" w:hAnsi="Arial" w:cs="Arial"/>
                <w:sz w:val="20"/>
                <w:szCs w:val="20"/>
              </w:rPr>
              <w:t>New Intellectual property now only applies to intellectual property created in carrying out the Services and</w:t>
            </w:r>
            <w:r w:rsidR="00B55E7D">
              <w:rPr>
                <w:rFonts w:ascii="Arial" w:hAnsi="Arial" w:cs="Arial"/>
                <w:sz w:val="20"/>
                <w:szCs w:val="20"/>
              </w:rPr>
              <w:t xml:space="preserve"> provided to the </w:t>
            </w:r>
            <w:r w:rsidR="006F758D">
              <w:rPr>
                <w:rFonts w:ascii="Arial" w:hAnsi="Arial" w:cs="Arial"/>
                <w:sz w:val="20"/>
                <w:szCs w:val="20"/>
              </w:rPr>
              <w:t xml:space="preserve">Client </w:t>
            </w:r>
            <w:r w:rsidR="00B55E7D">
              <w:rPr>
                <w:rFonts w:ascii="Arial" w:hAnsi="Arial" w:cs="Arial"/>
                <w:sz w:val="20"/>
                <w:szCs w:val="20"/>
              </w:rPr>
              <w:t xml:space="preserve">as a deliverable, i.e. it </w:t>
            </w:r>
            <w:r w:rsidR="006F758D">
              <w:rPr>
                <w:rFonts w:ascii="Arial" w:hAnsi="Arial" w:cs="Arial"/>
                <w:sz w:val="20"/>
                <w:szCs w:val="20"/>
              </w:rPr>
              <w:t xml:space="preserve">should </w:t>
            </w:r>
            <w:r w:rsidR="00B55E7D">
              <w:rPr>
                <w:rFonts w:ascii="Arial" w:hAnsi="Arial" w:cs="Arial"/>
                <w:sz w:val="20"/>
                <w:szCs w:val="20"/>
              </w:rPr>
              <w:t xml:space="preserve">not include calculations (unless these are </w:t>
            </w:r>
            <w:r w:rsidR="006F758D">
              <w:rPr>
                <w:rFonts w:ascii="Arial" w:hAnsi="Arial" w:cs="Arial"/>
                <w:sz w:val="20"/>
                <w:szCs w:val="20"/>
              </w:rPr>
              <w:t>specified as a deliverable</w:t>
            </w:r>
            <w:r w:rsidR="00B55E7D">
              <w:rPr>
                <w:rFonts w:ascii="Arial" w:hAnsi="Arial" w:cs="Arial"/>
                <w:sz w:val="20"/>
                <w:szCs w:val="20"/>
              </w:rPr>
              <w:t xml:space="preserve">), </w:t>
            </w:r>
            <w:r w:rsidR="006F758D">
              <w:rPr>
                <w:rFonts w:ascii="Arial" w:hAnsi="Arial" w:cs="Arial"/>
                <w:sz w:val="20"/>
                <w:szCs w:val="20"/>
              </w:rPr>
              <w:t xml:space="preserve">internal </w:t>
            </w:r>
            <w:r w:rsidR="00B55E7D">
              <w:rPr>
                <w:rFonts w:ascii="Arial" w:hAnsi="Arial" w:cs="Arial"/>
                <w:sz w:val="20"/>
                <w:szCs w:val="20"/>
              </w:rPr>
              <w:t>workings, draft concepts etc. New Intellectual property is jointly owned by the Consultant and Client</w:t>
            </w:r>
            <w:r w:rsidR="00086B39">
              <w:rPr>
                <w:rFonts w:ascii="Arial" w:hAnsi="Arial" w:cs="Arial"/>
                <w:sz w:val="20"/>
                <w:szCs w:val="20"/>
              </w:rPr>
              <w:t>,</w:t>
            </w:r>
            <w:r w:rsidR="00B55E7D">
              <w:rPr>
                <w:rFonts w:ascii="Arial" w:hAnsi="Arial" w:cs="Arial"/>
                <w:sz w:val="20"/>
                <w:szCs w:val="20"/>
              </w:rPr>
              <w:t xml:space="preserve"> but only after the Client has paid for it. </w:t>
            </w:r>
          </w:p>
          <w:p w14:paraId="40A2A5B6" w14:textId="396B7CC3" w:rsidR="00264535" w:rsidRDefault="00B55E7D" w:rsidP="003F05B8">
            <w:pPr>
              <w:pStyle w:val="Default"/>
              <w:spacing w:before="60" w:after="60"/>
              <w:rPr>
                <w:rFonts w:ascii="Arial" w:hAnsi="Arial" w:cs="Arial"/>
                <w:sz w:val="20"/>
                <w:szCs w:val="20"/>
              </w:rPr>
            </w:pPr>
            <w:r>
              <w:rPr>
                <w:rFonts w:ascii="Arial" w:hAnsi="Arial" w:cs="Arial"/>
                <w:sz w:val="20"/>
                <w:szCs w:val="20"/>
              </w:rPr>
              <w:t xml:space="preserve">Some clients will want to own New Intellectual Property exclusively, i.e. you </w:t>
            </w:r>
            <w:r w:rsidR="006F758D">
              <w:rPr>
                <w:rFonts w:ascii="Arial" w:hAnsi="Arial" w:cs="Arial"/>
                <w:sz w:val="20"/>
                <w:szCs w:val="20"/>
              </w:rPr>
              <w:t xml:space="preserve">could </w:t>
            </w:r>
            <w:r>
              <w:rPr>
                <w:rFonts w:ascii="Arial" w:hAnsi="Arial" w:cs="Arial"/>
                <w:sz w:val="20"/>
                <w:szCs w:val="20"/>
              </w:rPr>
              <w:t xml:space="preserve">be deprived of using </w:t>
            </w:r>
            <w:r w:rsidR="00D0358D">
              <w:rPr>
                <w:rFonts w:ascii="Arial" w:hAnsi="Arial" w:cs="Arial"/>
                <w:sz w:val="20"/>
                <w:szCs w:val="20"/>
              </w:rPr>
              <w:t>it</w:t>
            </w:r>
            <w:r>
              <w:rPr>
                <w:rFonts w:ascii="Arial" w:hAnsi="Arial" w:cs="Arial"/>
                <w:sz w:val="20"/>
                <w:szCs w:val="20"/>
              </w:rPr>
              <w:t xml:space="preserve"> on future projects for other clients.</w:t>
            </w:r>
            <w:r w:rsidR="00264535">
              <w:rPr>
                <w:rFonts w:ascii="Arial" w:hAnsi="Arial" w:cs="Arial"/>
                <w:sz w:val="20"/>
                <w:szCs w:val="20"/>
              </w:rPr>
              <w:t xml:space="preserve"> </w:t>
            </w:r>
            <w:r>
              <w:rPr>
                <w:rFonts w:ascii="Arial" w:hAnsi="Arial" w:cs="Arial"/>
                <w:sz w:val="20"/>
                <w:szCs w:val="20"/>
              </w:rPr>
              <w:t xml:space="preserve">However, </w:t>
            </w:r>
            <w:r w:rsidR="006F758D">
              <w:rPr>
                <w:rFonts w:ascii="Arial" w:hAnsi="Arial" w:cs="Arial"/>
                <w:sz w:val="20"/>
                <w:szCs w:val="20"/>
              </w:rPr>
              <w:t xml:space="preserve">consultants </w:t>
            </w:r>
            <w:r>
              <w:rPr>
                <w:rFonts w:ascii="Arial" w:hAnsi="Arial" w:cs="Arial"/>
                <w:sz w:val="20"/>
                <w:szCs w:val="20"/>
              </w:rPr>
              <w:t xml:space="preserve">should </w:t>
            </w:r>
            <w:r w:rsidR="006F758D">
              <w:rPr>
                <w:rFonts w:ascii="Arial" w:hAnsi="Arial" w:cs="Arial"/>
                <w:sz w:val="20"/>
                <w:szCs w:val="20"/>
              </w:rPr>
              <w:t xml:space="preserve">typically </w:t>
            </w:r>
            <w:r>
              <w:rPr>
                <w:rFonts w:ascii="Arial" w:hAnsi="Arial" w:cs="Arial"/>
                <w:sz w:val="20"/>
                <w:szCs w:val="20"/>
              </w:rPr>
              <w:t xml:space="preserve">resist this because </w:t>
            </w:r>
            <w:r w:rsidR="006F758D">
              <w:rPr>
                <w:rFonts w:ascii="Arial" w:hAnsi="Arial" w:cs="Arial"/>
                <w:sz w:val="20"/>
                <w:szCs w:val="20"/>
              </w:rPr>
              <w:t xml:space="preserve">such </w:t>
            </w:r>
            <w:r>
              <w:rPr>
                <w:rFonts w:ascii="Arial" w:hAnsi="Arial" w:cs="Arial"/>
                <w:sz w:val="20"/>
                <w:szCs w:val="20"/>
              </w:rPr>
              <w:t>intellectual property is</w:t>
            </w:r>
            <w:r w:rsidR="00D0358D">
              <w:rPr>
                <w:rFonts w:ascii="Arial" w:hAnsi="Arial" w:cs="Arial"/>
                <w:sz w:val="20"/>
                <w:szCs w:val="20"/>
              </w:rPr>
              <w:t xml:space="preserve"> </w:t>
            </w:r>
            <w:r w:rsidR="006F758D">
              <w:rPr>
                <w:rFonts w:ascii="Arial" w:hAnsi="Arial" w:cs="Arial"/>
                <w:sz w:val="20"/>
                <w:szCs w:val="20"/>
              </w:rPr>
              <w:t xml:space="preserve">likely to be </w:t>
            </w:r>
            <w:r w:rsidR="00D0358D">
              <w:rPr>
                <w:rFonts w:ascii="Arial" w:hAnsi="Arial" w:cs="Arial"/>
                <w:sz w:val="20"/>
                <w:szCs w:val="20"/>
              </w:rPr>
              <w:t>of commercial value</w:t>
            </w:r>
            <w:r w:rsidR="006F758D">
              <w:rPr>
                <w:rFonts w:ascii="Arial" w:hAnsi="Arial" w:cs="Arial"/>
                <w:sz w:val="20"/>
                <w:szCs w:val="20"/>
              </w:rPr>
              <w:t xml:space="preserve"> and is one of the reasons client</w:t>
            </w:r>
            <w:r w:rsidR="001206F0">
              <w:rPr>
                <w:rFonts w:ascii="Arial" w:hAnsi="Arial" w:cs="Arial"/>
                <w:sz w:val="20"/>
                <w:szCs w:val="20"/>
              </w:rPr>
              <w:t>s</w:t>
            </w:r>
            <w:r w:rsidR="006F758D">
              <w:rPr>
                <w:rFonts w:ascii="Arial" w:hAnsi="Arial" w:cs="Arial"/>
                <w:sz w:val="20"/>
                <w:szCs w:val="20"/>
              </w:rPr>
              <w:t xml:space="preserve"> engage </w:t>
            </w:r>
            <w:r w:rsidR="00071ECC">
              <w:rPr>
                <w:rFonts w:ascii="Arial" w:hAnsi="Arial" w:cs="Arial"/>
                <w:sz w:val="20"/>
                <w:szCs w:val="20"/>
              </w:rPr>
              <w:t>consultants.</w:t>
            </w:r>
            <w:r w:rsidR="006F758D">
              <w:rPr>
                <w:rFonts w:ascii="Arial" w:hAnsi="Arial" w:cs="Arial"/>
                <w:sz w:val="20"/>
                <w:szCs w:val="20"/>
              </w:rPr>
              <w:t xml:space="preserve"> However, each case should be considered on its merits.</w:t>
            </w:r>
          </w:p>
        </w:tc>
      </w:tr>
      <w:tr w:rsidR="00B55E7D" w14:paraId="42999660" w14:textId="77777777" w:rsidTr="00BE18A4">
        <w:tc>
          <w:tcPr>
            <w:tcW w:w="872" w:type="dxa"/>
          </w:tcPr>
          <w:p w14:paraId="5CA9AFC0" w14:textId="77777777" w:rsidR="00B55E7D" w:rsidRDefault="00B55E7D" w:rsidP="003F05B8">
            <w:pPr>
              <w:spacing w:before="60" w:after="60"/>
              <w:rPr>
                <w:rFonts w:ascii="Arial" w:hAnsi="Arial" w:cs="Arial"/>
                <w:sz w:val="20"/>
                <w:szCs w:val="20"/>
              </w:rPr>
            </w:pPr>
            <w:r>
              <w:rPr>
                <w:rFonts w:ascii="Arial" w:hAnsi="Arial" w:cs="Arial"/>
                <w:sz w:val="20"/>
                <w:szCs w:val="20"/>
              </w:rPr>
              <w:t>17</w:t>
            </w:r>
          </w:p>
        </w:tc>
        <w:tc>
          <w:tcPr>
            <w:tcW w:w="8621" w:type="dxa"/>
          </w:tcPr>
          <w:p w14:paraId="74C848B1" w14:textId="3D1EF7B6" w:rsidR="00B55E7D" w:rsidRDefault="00B55E7D" w:rsidP="00621C52">
            <w:pPr>
              <w:pStyle w:val="Default"/>
              <w:spacing w:before="60" w:after="60"/>
              <w:rPr>
                <w:rFonts w:ascii="Arial" w:hAnsi="Arial" w:cs="Arial"/>
                <w:sz w:val="20"/>
                <w:szCs w:val="20"/>
              </w:rPr>
            </w:pPr>
            <w:r>
              <w:rPr>
                <w:rFonts w:ascii="Arial" w:hAnsi="Arial" w:cs="Arial"/>
                <w:sz w:val="20"/>
                <w:szCs w:val="20"/>
              </w:rPr>
              <w:t>The Health and Safety</w:t>
            </w:r>
            <w:r w:rsidR="00D0358D">
              <w:rPr>
                <w:rFonts w:ascii="Arial" w:hAnsi="Arial" w:cs="Arial"/>
                <w:sz w:val="20"/>
                <w:szCs w:val="20"/>
              </w:rPr>
              <w:t xml:space="preserve"> at Work</w:t>
            </w:r>
            <w:r>
              <w:rPr>
                <w:rFonts w:ascii="Arial" w:hAnsi="Arial" w:cs="Arial"/>
                <w:sz w:val="20"/>
                <w:szCs w:val="20"/>
              </w:rPr>
              <w:t xml:space="preserve"> Act 20</w:t>
            </w:r>
            <w:r w:rsidR="00D0358D">
              <w:rPr>
                <w:rFonts w:ascii="Arial" w:hAnsi="Arial" w:cs="Arial"/>
                <w:sz w:val="20"/>
                <w:szCs w:val="20"/>
              </w:rPr>
              <w:t>1</w:t>
            </w:r>
            <w:r>
              <w:rPr>
                <w:rFonts w:ascii="Arial" w:hAnsi="Arial" w:cs="Arial"/>
                <w:sz w:val="20"/>
                <w:szCs w:val="20"/>
              </w:rPr>
              <w:t xml:space="preserve">5 requires </w:t>
            </w:r>
            <w:r w:rsidR="00580AD5">
              <w:rPr>
                <w:rFonts w:ascii="Arial" w:hAnsi="Arial" w:cs="Arial"/>
                <w:sz w:val="20"/>
                <w:szCs w:val="20"/>
              </w:rPr>
              <w:t xml:space="preserve">the Consultant and the Client </w:t>
            </w:r>
            <w:r>
              <w:rPr>
                <w:rFonts w:ascii="Arial" w:hAnsi="Arial" w:cs="Arial"/>
                <w:sz w:val="20"/>
                <w:szCs w:val="20"/>
              </w:rPr>
              <w:t xml:space="preserve">to be responsible for </w:t>
            </w:r>
            <w:r w:rsidR="00580AD5">
              <w:rPr>
                <w:rFonts w:ascii="Arial" w:hAnsi="Arial" w:cs="Arial"/>
                <w:sz w:val="20"/>
                <w:szCs w:val="20"/>
              </w:rPr>
              <w:t xml:space="preserve">their </w:t>
            </w:r>
            <w:r>
              <w:rPr>
                <w:rFonts w:ascii="Arial" w:hAnsi="Arial" w:cs="Arial"/>
                <w:sz w:val="20"/>
                <w:szCs w:val="20"/>
              </w:rPr>
              <w:t xml:space="preserve">own </w:t>
            </w:r>
            <w:r w:rsidR="00580AD5">
              <w:rPr>
                <w:rFonts w:ascii="Arial" w:hAnsi="Arial" w:cs="Arial"/>
                <w:sz w:val="20"/>
                <w:szCs w:val="20"/>
              </w:rPr>
              <w:t xml:space="preserve">health and safety </w:t>
            </w:r>
            <w:r>
              <w:rPr>
                <w:rFonts w:ascii="Arial" w:hAnsi="Arial" w:cs="Arial"/>
                <w:sz w:val="20"/>
                <w:szCs w:val="20"/>
              </w:rPr>
              <w:t>obligations</w:t>
            </w:r>
            <w:r w:rsidR="00580AD5">
              <w:rPr>
                <w:rFonts w:ascii="Arial" w:hAnsi="Arial" w:cs="Arial"/>
                <w:sz w:val="20"/>
                <w:szCs w:val="20"/>
              </w:rPr>
              <w:t xml:space="preserve"> under the Act</w:t>
            </w:r>
            <w:r>
              <w:rPr>
                <w:rFonts w:ascii="Arial" w:hAnsi="Arial" w:cs="Arial"/>
                <w:sz w:val="20"/>
                <w:szCs w:val="20"/>
              </w:rPr>
              <w:t xml:space="preserve">, i.e. they cannot be delegated to others. </w:t>
            </w:r>
            <w:r w:rsidR="00580AD5">
              <w:rPr>
                <w:rFonts w:ascii="Arial" w:hAnsi="Arial" w:cs="Arial"/>
                <w:sz w:val="20"/>
                <w:szCs w:val="20"/>
              </w:rPr>
              <w:t xml:space="preserve">Consultants must ensure they are familiar with and comply with such obligations in performing the Services. </w:t>
            </w:r>
            <w:r w:rsidR="00580AD5" w:rsidRPr="00580AD5">
              <w:rPr>
                <w:rFonts w:ascii="Arial" w:hAnsi="Arial" w:cs="Arial"/>
                <w:sz w:val="20"/>
                <w:szCs w:val="20"/>
              </w:rPr>
              <w:t xml:space="preserve">Of </w:t>
            </w:r>
            <w:proofErr w:type="gramStart"/>
            <w:r w:rsidR="00580AD5" w:rsidRPr="00580AD5">
              <w:rPr>
                <w:rFonts w:ascii="Arial" w:hAnsi="Arial" w:cs="Arial"/>
                <w:sz w:val="20"/>
                <w:szCs w:val="20"/>
              </w:rPr>
              <w:t>particular importance</w:t>
            </w:r>
            <w:proofErr w:type="gramEnd"/>
            <w:r w:rsidR="00580AD5" w:rsidRPr="00580AD5">
              <w:rPr>
                <w:rFonts w:ascii="Arial" w:hAnsi="Arial" w:cs="Arial"/>
                <w:sz w:val="20"/>
                <w:szCs w:val="20"/>
              </w:rPr>
              <w:t xml:space="preserve"> to Consultants undertaking design </w:t>
            </w:r>
            <w:r w:rsidR="008B7A9E">
              <w:rPr>
                <w:rFonts w:ascii="Arial" w:hAnsi="Arial" w:cs="Arial"/>
                <w:sz w:val="20"/>
                <w:szCs w:val="20"/>
              </w:rPr>
              <w:t>is</w:t>
            </w:r>
            <w:r w:rsidR="00580AD5" w:rsidRPr="00580AD5">
              <w:rPr>
                <w:rFonts w:ascii="Arial" w:hAnsi="Arial" w:cs="Arial"/>
                <w:sz w:val="20"/>
                <w:szCs w:val="20"/>
              </w:rPr>
              <w:t xml:space="preserve"> the requirement to ensure, as far as reasonably practicable, that the item being designed will be without risks to the health and safety </w:t>
            </w:r>
            <w:r w:rsidR="00621C52">
              <w:rPr>
                <w:rFonts w:ascii="Arial" w:hAnsi="Arial" w:cs="Arial"/>
                <w:sz w:val="20"/>
                <w:szCs w:val="20"/>
              </w:rPr>
              <w:t>of</w:t>
            </w:r>
            <w:r w:rsidR="00621C52" w:rsidRPr="00580AD5">
              <w:rPr>
                <w:rFonts w:ascii="Arial" w:hAnsi="Arial" w:cs="Arial"/>
                <w:sz w:val="20"/>
                <w:szCs w:val="20"/>
              </w:rPr>
              <w:t xml:space="preserve"> </w:t>
            </w:r>
            <w:r w:rsidR="00580AD5" w:rsidRPr="00580AD5">
              <w:rPr>
                <w:rFonts w:ascii="Arial" w:hAnsi="Arial" w:cs="Arial"/>
                <w:sz w:val="20"/>
                <w:szCs w:val="20"/>
              </w:rPr>
              <w:t>persons who will use, construct</w:t>
            </w:r>
            <w:r w:rsidR="00621C52">
              <w:rPr>
                <w:rFonts w:ascii="Arial" w:hAnsi="Arial" w:cs="Arial"/>
                <w:sz w:val="20"/>
                <w:szCs w:val="20"/>
              </w:rPr>
              <w:t>, operate</w:t>
            </w:r>
            <w:r w:rsidR="00580AD5" w:rsidRPr="00580AD5">
              <w:rPr>
                <w:rFonts w:ascii="Arial" w:hAnsi="Arial" w:cs="Arial"/>
                <w:sz w:val="20"/>
                <w:szCs w:val="20"/>
              </w:rPr>
              <w:t xml:space="preserve"> or maintain the item</w:t>
            </w:r>
          </w:p>
        </w:tc>
      </w:tr>
      <w:tr w:rsidR="00B968B8" w14:paraId="5C1EF4B8" w14:textId="77777777" w:rsidTr="00850D39">
        <w:tc>
          <w:tcPr>
            <w:tcW w:w="872" w:type="dxa"/>
            <w:shd w:val="clear" w:color="auto" w:fill="BDD6EE" w:themeFill="accent1" w:themeFillTint="66"/>
          </w:tcPr>
          <w:p w14:paraId="192AC641" w14:textId="77777777" w:rsidR="00B968B8" w:rsidRDefault="00B968B8" w:rsidP="003F05B8">
            <w:pPr>
              <w:spacing w:before="60" w:after="60"/>
              <w:rPr>
                <w:rFonts w:ascii="Arial" w:hAnsi="Arial" w:cs="Arial"/>
                <w:sz w:val="20"/>
                <w:szCs w:val="20"/>
              </w:rPr>
            </w:pPr>
            <w:r>
              <w:rPr>
                <w:rFonts w:ascii="Arial" w:hAnsi="Arial" w:cs="Arial"/>
                <w:sz w:val="20"/>
                <w:szCs w:val="20"/>
              </w:rPr>
              <w:t>18</w:t>
            </w:r>
          </w:p>
        </w:tc>
        <w:tc>
          <w:tcPr>
            <w:tcW w:w="8621" w:type="dxa"/>
            <w:shd w:val="clear" w:color="auto" w:fill="BDD6EE" w:themeFill="accent1" w:themeFillTint="66"/>
          </w:tcPr>
          <w:p w14:paraId="19047C3D" w14:textId="77777777" w:rsidR="00B968B8" w:rsidRDefault="00B968B8" w:rsidP="003F05B8">
            <w:pPr>
              <w:pStyle w:val="Default"/>
              <w:spacing w:before="60" w:after="60"/>
              <w:rPr>
                <w:rFonts w:ascii="Arial" w:hAnsi="Arial" w:cs="Arial"/>
                <w:sz w:val="20"/>
                <w:szCs w:val="20"/>
              </w:rPr>
            </w:pPr>
            <w:r>
              <w:rPr>
                <w:rFonts w:ascii="Arial" w:hAnsi="Arial" w:cs="Arial"/>
                <w:sz w:val="20"/>
                <w:szCs w:val="20"/>
              </w:rPr>
              <w:t>Either the Client o</w:t>
            </w:r>
            <w:r w:rsidR="00D0358D">
              <w:rPr>
                <w:rFonts w:ascii="Arial" w:hAnsi="Arial" w:cs="Arial"/>
                <w:sz w:val="20"/>
                <w:szCs w:val="20"/>
              </w:rPr>
              <w:t>r</w:t>
            </w:r>
            <w:r>
              <w:rPr>
                <w:rFonts w:ascii="Arial" w:hAnsi="Arial" w:cs="Arial"/>
                <w:sz w:val="20"/>
                <w:szCs w:val="20"/>
              </w:rPr>
              <w:t xml:space="preserve"> the Consultant can suspend the Services if the other party is in “material default”. A material default is</w:t>
            </w:r>
            <w:r w:rsidR="00D0358D">
              <w:rPr>
                <w:rFonts w:ascii="Arial" w:hAnsi="Arial" w:cs="Arial"/>
                <w:sz w:val="20"/>
                <w:szCs w:val="20"/>
              </w:rPr>
              <w:t xml:space="preserve"> a breach of the contract which is significant in consequence and more than minor. The circumstances of the breach will determine whether a material default or a non- material/minor default has occurred. Repeated or continuing “minor defaults” can amount to “material default” when viewed collectively and not remedied within a reasonable period.</w:t>
            </w:r>
          </w:p>
        </w:tc>
      </w:tr>
      <w:tr w:rsidR="00B968B8" w14:paraId="77EF7403" w14:textId="77777777" w:rsidTr="00BE18A4">
        <w:tc>
          <w:tcPr>
            <w:tcW w:w="872" w:type="dxa"/>
          </w:tcPr>
          <w:p w14:paraId="2A9F1867" w14:textId="77777777" w:rsidR="00B968B8" w:rsidRDefault="00B968B8" w:rsidP="003F05B8">
            <w:pPr>
              <w:spacing w:before="60" w:after="60"/>
              <w:rPr>
                <w:rFonts w:ascii="Arial" w:hAnsi="Arial" w:cs="Arial"/>
                <w:sz w:val="20"/>
                <w:szCs w:val="20"/>
              </w:rPr>
            </w:pPr>
            <w:r>
              <w:rPr>
                <w:rFonts w:ascii="Arial" w:hAnsi="Arial" w:cs="Arial"/>
                <w:sz w:val="20"/>
                <w:szCs w:val="20"/>
              </w:rPr>
              <w:t>19</w:t>
            </w:r>
          </w:p>
        </w:tc>
        <w:tc>
          <w:tcPr>
            <w:tcW w:w="8621" w:type="dxa"/>
          </w:tcPr>
          <w:p w14:paraId="3477EDED" w14:textId="3143ACAC" w:rsidR="00B968B8" w:rsidRDefault="00A43EF4" w:rsidP="00A43EF4">
            <w:pPr>
              <w:pStyle w:val="NormalWeb"/>
              <w:shd w:val="clear" w:color="auto" w:fill="FFFFFF"/>
              <w:spacing w:before="60" w:after="60" w:line="240" w:lineRule="auto"/>
              <w:rPr>
                <w:rFonts w:ascii="Arial" w:hAnsi="Arial" w:cs="Arial"/>
                <w:sz w:val="20"/>
                <w:szCs w:val="20"/>
              </w:rPr>
            </w:pPr>
            <w:r w:rsidRPr="00A43EF4">
              <w:rPr>
                <w:rFonts w:ascii="Arial" w:hAnsi="Arial" w:cs="Arial"/>
                <w:color w:val="auto"/>
                <w:sz w:val="20"/>
                <w:szCs w:val="20"/>
              </w:rPr>
              <w:t>The first step in resolving a dispute is for the parties to meet and try and reach agreement themselves. If this is unsuccessful</w:t>
            </w:r>
            <w:r w:rsidR="00086B39">
              <w:rPr>
                <w:rFonts w:ascii="Arial" w:hAnsi="Arial" w:cs="Arial"/>
                <w:color w:val="auto"/>
                <w:sz w:val="20"/>
                <w:szCs w:val="20"/>
              </w:rPr>
              <w:t>,</w:t>
            </w:r>
            <w:r w:rsidRPr="00A43EF4">
              <w:rPr>
                <w:rFonts w:ascii="Arial" w:hAnsi="Arial" w:cs="Arial"/>
                <w:color w:val="auto"/>
                <w:sz w:val="20"/>
                <w:szCs w:val="20"/>
              </w:rPr>
              <w:t xml:space="preserve"> then the dispute may be resolved by mediation</w:t>
            </w:r>
            <w:r>
              <w:rPr>
                <w:rFonts w:ascii="Arial" w:hAnsi="Arial" w:cs="Arial"/>
                <w:color w:val="auto"/>
                <w:sz w:val="20"/>
                <w:szCs w:val="20"/>
              </w:rPr>
              <w:t xml:space="preserve">, </w:t>
            </w:r>
            <w:r>
              <w:rPr>
                <w:rFonts w:ascii="Arial" w:hAnsi="Arial" w:cs="Arial"/>
                <w:color w:val="auto"/>
                <w:sz w:val="20"/>
                <w:szCs w:val="20"/>
                <w:lang w:val="en"/>
              </w:rPr>
              <w:t>a c</w:t>
            </w:r>
            <w:r w:rsidRPr="00A43EF4">
              <w:rPr>
                <w:rFonts w:ascii="Arial" w:hAnsi="Arial" w:cs="Arial"/>
                <w:color w:val="auto"/>
                <w:sz w:val="20"/>
                <w:szCs w:val="20"/>
                <w:lang w:val="en"/>
              </w:rPr>
              <w:t xml:space="preserve">onfidential and consensual dispute resolution process in which an independent and impartial mediator facilitates negotiation between the parties to assist them to resolve their dispute. The mediator is not a decision-maker, and the process is based on achieving co-operation between the parties. </w:t>
            </w:r>
            <w:r>
              <w:rPr>
                <w:rFonts w:ascii="Arial" w:hAnsi="Arial" w:cs="Arial"/>
                <w:sz w:val="20"/>
                <w:szCs w:val="20"/>
              </w:rPr>
              <w:t xml:space="preserve"> </w:t>
            </w:r>
          </w:p>
        </w:tc>
      </w:tr>
      <w:tr w:rsidR="004310AA" w14:paraId="09F8B641" w14:textId="77777777" w:rsidTr="004310AA">
        <w:tc>
          <w:tcPr>
            <w:tcW w:w="872" w:type="dxa"/>
            <w:shd w:val="clear" w:color="auto" w:fill="BDD6EE" w:themeFill="accent1" w:themeFillTint="66"/>
          </w:tcPr>
          <w:p w14:paraId="38428BE7" w14:textId="77777777" w:rsidR="004310AA" w:rsidRDefault="004310AA" w:rsidP="003F05B8">
            <w:pPr>
              <w:spacing w:before="60" w:after="60"/>
              <w:rPr>
                <w:rFonts w:ascii="Arial" w:hAnsi="Arial" w:cs="Arial"/>
                <w:sz w:val="20"/>
                <w:szCs w:val="20"/>
              </w:rPr>
            </w:pPr>
            <w:r>
              <w:rPr>
                <w:rFonts w:ascii="Arial" w:hAnsi="Arial" w:cs="Arial"/>
                <w:sz w:val="20"/>
                <w:szCs w:val="20"/>
              </w:rPr>
              <w:t>20</w:t>
            </w:r>
          </w:p>
        </w:tc>
        <w:tc>
          <w:tcPr>
            <w:tcW w:w="8621" w:type="dxa"/>
            <w:shd w:val="clear" w:color="auto" w:fill="BDD6EE" w:themeFill="accent1" w:themeFillTint="66"/>
          </w:tcPr>
          <w:p w14:paraId="6BFDFDA6" w14:textId="2B229EEB" w:rsidR="004310AA" w:rsidRPr="004310AA" w:rsidRDefault="004310AA" w:rsidP="004310AA">
            <w:pPr>
              <w:spacing w:before="60" w:after="60"/>
            </w:pPr>
            <w:r w:rsidRPr="004310AA">
              <w:rPr>
                <w:rFonts w:ascii="Arial" w:hAnsi="Arial" w:cs="Arial"/>
                <w:sz w:val="20"/>
                <w:szCs w:val="20"/>
              </w:rPr>
              <w:t xml:space="preserve">The Short Form Agreement is </w:t>
            </w:r>
            <w:r w:rsidR="001206F0">
              <w:rPr>
                <w:rFonts w:ascii="Arial" w:hAnsi="Arial" w:cs="Arial"/>
                <w:sz w:val="20"/>
                <w:szCs w:val="20"/>
              </w:rPr>
              <w:t>subject to the laws and courts of</w:t>
            </w:r>
            <w:r w:rsidRPr="004310AA">
              <w:rPr>
                <w:rFonts w:ascii="Arial" w:hAnsi="Arial" w:cs="Arial"/>
                <w:sz w:val="20"/>
                <w:szCs w:val="20"/>
              </w:rPr>
              <w:t xml:space="preserve"> New Zealand. If the Services are to be provide</w:t>
            </w:r>
            <w:r w:rsidR="001206F0">
              <w:rPr>
                <w:rFonts w:ascii="Arial" w:hAnsi="Arial" w:cs="Arial"/>
                <w:sz w:val="20"/>
                <w:szCs w:val="20"/>
              </w:rPr>
              <w:t>d</w:t>
            </w:r>
            <w:r w:rsidRPr="004310AA">
              <w:rPr>
                <w:rFonts w:ascii="Arial" w:hAnsi="Arial" w:cs="Arial"/>
                <w:sz w:val="20"/>
                <w:szCs w:val="20"/>
              </w:rPr>
              <w:t xml:space="preserve"> for an overseas </w:t>
            </w:r>
            <w:r w:rsidR="00D0358D" w:rsidRPr="004310AA">
              <w:rPr>
                <w:rFonts w:ascii="Arial" w:hAnsi="Arial" w:cs="Arial"/>
                <w:sz w:val="20"/>
                <w:szCs w:val="20"/>
              </w:rPr>
              <w:t>client,</w:t>
            </w:r>
            <w:r w:rsidR="001206F0">
              <w:rPr>
                <w:rFonts w:ascii="Arial" w:hAnsi="Arial" w:cs="Arial"/>
                <w:sz w:val="20"/>
                <w:szCs w:val="20"/>
              </w:rPr>
              <w:t xml:space="preserve"> it remains preferable for that New Zealand law applies.</w:t>
            </w:r>
            <w:r w:rsidRPr="004310AA">
              <w:rPr>
                <w:rFonts w:ascii="Arial" w:hAnsi="Arial" w:cs="Arial"/>
                <w:sz w:val="20"/>
                <w:szCs w:val="20"/>
              </w:rPr>
              <w:t xml:space="preserve"> </w:t>
            </w:r>
          </w:p>
        </w:tc>
      </w:tr>
    </w:tbl>
    <w:p w14:paraId="25749349" w14:textId="77777777" w:rsidR="0092008C" w:rsidRDefault="0092008C" w:rsidP="00D532C2"/>
    <w:sectPr w:rsidR="0092008C" w:rsidSect="00AE3A29">
      <w:footerReference w:type="default" r:id="rId11"/>
      <w:pgSz w:w="11906" w:h="16838"/>
      <w:pgMar w:top="993" w:right="991" w:bottom="1440" w:left="1440" w:header="113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ED706" w14:textId="77777777" w:rsidR="00E1621E" w:rsidRDefault="00E1621E" w:rsidP="00BE18A4">
      <w:pPr>
        <w:spacing w:after="0" w:line="240" w:lineRule="auto"/>
      </w:pPr>
      <w:r>
        <w:separator/>
      </w:r>
    </w:p>
  </w:endnote>
  <w:endnote w:type="continuationSeparator" w:id="0">
    <w:p w14:paraId="659F9CDF" w14:textId="77777777" w:rsidR="00E1621E" w:rsidRDefault="00E1621E" w:rsidP="00BE1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7846653"/>
      <w:docPartObj>
        <w:docPartGallery w:val="Page Numbers (Bottom of Page)"/>
        <w:docPartUnique/>
      </w:docPartObj>
    </w:sdtPr>
    <w:sdtEndPr>
      <w:rPr>
        <w:noProof/>
      </w:rPr>
    </w:sdtEndPr>
    <w:sdtContent>
      <w:p w14:paraId="1B9BD612" w14:textId="26197C87" w:rsidR="001A2769" w:rsidRDefault="00AE3A29" w:rsidP="00AE3A29">
        <w:pPr>
          <w:pStyle w:val="Footer"/>
          <w:tabs>
            <w:tab w:val="clear" w:pos="9026"/>
            <w:tab w:val="right" w:pos="8647"/>
          </w:tabs>
        </w:pPr>
        <w:r>
          <w:rPr>
            <w:noProof/>
          </w:rPr>
          <w:drawing>
            <wp:anchor distT="0" distB="0" distL="114300" distR="114300" simplePos="0" relativeHeight="251658240" behindDoc="0" locked="0" layoutInCell="1" allowOverlap="1" wp14:anchorId="7F1BA9A2" wp14:editId="29428412">
              <wp:simplePos x="0" y="0"/>
              <wp:positionH relativeFrom="column">
                <wp:posOffset>5542915</wp:posOffset>
              </wp:positionH>
              <wp:positionV relativeFrom="paragraph">
                <wp:posOffset>-340360</wp:posOffset>
              </wp:positionV>
              <wp:extent cx="471487" cy="471487"/>
              <wp:effectExtent l="0" t="0" r="5080" b="50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ENZ icon only NEW colour edits 2019 for web.pn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471487" cy="471487"/>
                      </a:xfrm>
                      <a:prstGeom prst="rect">
                        <a:avLst/>
                      </a:prstGeom>
                    </pic:spPr>
                  </pic:pic>
                </a:graphicData>
              </a:graphic>
              <wp14:sizeRelH relativeFrom="page">
                <wp14:pctWidth>0</wp14:pctWidth>
              </wp14:sizeRelH>
              <wp14:sizeRelV relativeFrom="page">
                <wp14:pctHeight>0</wp14:pctHeight>
              </wp14:sizeRelV>
            </wp:anchor>
          </w:drawing>
        </w:r>
        <w:r w:rsidR="002A635F">
          <w:t>Guide to changes in the Short Form - February 20</w:t>
        </w:r>
        <w:r>
          <w:t>1</w:t>
        </w:r>
        <w:r w:rsidR="002A635F">
          <w:t>9</w:t>
        </w:r>
        <w:r w:rsidR="002A635F">
          <w:tab/>
        </w:r>
        <w:r w:rsidR="009B31C3">
          <w:t xml:space="preserve">Page </w:t>
        </w:r>
        <w:r w:rsidR="001A2769">
          <w:fldChar w:fldCharType="begin"/>
        </w:r>
        <w:r w:rsidR="001A2769">
          <w:instrText xml:space="preserve"> PAGE   \* MERGEFORMAT </w:instrText>
        </w:r>
        <w:r w:rsidR="001A2769">
          <w:fldChar w:fldCharType="separate"/>
        </w:r>
        <w:r w:rsidR="00621C52">
          <w:rPr>
            <w:noProof/>
          </w:rPr>
          <w:t>3</w:t>
        </w:r>
        <w:r w:rsidR="001A2769">
          <w:rPr>
            <w:noProof/>
          </w:rPr>
          <w:fldChar w:fldCharType="end"/>
        </w:r>
        <w:r w:rsidR="00071ECC">
          <w:rPr>
            <w:noProof/>
          </w:rPr>
          <w:t xml:space="preserve"> </w:t>
        </w:r>
        <w:r w:rsidR="00B276A1">
          <w:rPr>
            <w:noProof/>
          </w:rPr>
          <w:t>of 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D9AC8" w14:textId="77777777" w:rsidR="00E1621E" w:rsidRDefault="00E1621E" w:rsidP="00BE18A4">
      <w:pPr>
        <w:spacing w:after="0" w:line="240" w:lineRule="auto"/>
      </w:pPr>
      <w:r>
        <w:separator/>
      </w:r>
    </w:p>
  </w:footnote>
  <w:footnote w:type="continuationSeparator" w:id="0">
    <w:p w14:paraId="48FBD9F7" w14:textId="77777777" w:rsidR="00E1621E" w:rsidRDefault="00E1621E" w:rsidP="00BE18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A5B52"/>
    <w:multiLevelType w:val="hybridMultilevel"/>
    <w:tmpl w:val="35EE5C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E8B487D"/>
    <w:multiLevelType w:val="hybridMultilevel"/>
    <w:tmpl w:val="6862FDA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WwNDIytrS0MLUwNzdR0lEKTi0uzszPAykwrgUAIQ6u0iwAAAA="/>
  </w:docVars>
  <w:rsids>
    <w:rsidRoot w:val="0092008C"/>
    <w:rsid w:val="00071ECC"/>
    <w:rsid w:val="00086B39"/>
    <w:rsid w:val="00094DB3"/>
    <w:rsid w:val="000C60B3"/>
    <w:rsid w:val="001011D5"/>
    <w:rsid w:val="001206F0"/>
    <w:rsid w:val="00130E52"/>
    <w:rsid w:val="00145193"/>
    <w:rsid w:val="001A2769"/>
    <w:rsid w:val="001C54F9"/>
    <w:rsid w:val="00241150"/>
    <w:rsid w:val="002516F9"/>
    <w:rsid w:val="00264535"/>
    <w:rsid w:val="0029224C"/>
    <w:rsid w:val="002A635F"/>
    <w:rsid w:val="002E6715"/>
    <w:rsid w:val="003637BA"/>
    <w:rsid w:val="00391511"/>
    <w:rsid w:val="003C1F4E"/>
    <w:rsid w:val="003F05B8"/>
    <w:rsid w:val="00427F75"/>
    <w:rsid w:val="004310AA"/>
    <w:rsid w:val="00453D9C"/>
    <w:rsid w:val="004A7F31"/>
    <w:rsid w:val="004B2CA5"/>
    <w:rsid w:val="004E31B3"/>
    <w:rsid w:val="00515B78"/>
    <w:rsid w:val="00532CE3"/>
    <w:rsid w:val="00541600"/>
    <w:rsid w:val="00561DC1"/>
    <w:rsid w:val="00572004"/>
    <w:rsid w:val="00580AD5"/>
    <w:rsid w:val="005B029E"/>
    <w:rsid w:val="005B2EE3"/>
    <w:rsid w:val="00621C52"/>
    <w:rsid w:val="00643AFD"/>
    <w:rsid w:val="00643B86"/>
    <w:rsid w:val="006640E9"/>
    <w:rsid w:val="00684B05"/>
    <w:rsid w:val="006E239F"/>
    <w:rsid w:val="006F758D"/>
    <w:rsid w:val="007027DC"/>
    <w:rsid w:val="00716935"/>
    <w:rsid w:val="00796024"/>
    <w:rsid w:val="007C6826"/>
    <w:rsid w:val="007F5DF5"/>
    <w:rsid w:val="00806E78"/>
    <w:rsid w:val="00821050"/>
    <w:rsid w:val="00850D39"/>
    <w:rsid w:val="008806A9"/>
    <w:rsid w:val="00883EB5"/>
    <w:rsid w:val="008B661F"/>
    <w:rsid w:val="008B7A9E"/>
    <w:rsid w:val="008F5D62"/>
    <w:rsid w:val="0090375C"/>
    <w:rsid w:val="00910B8A"/>
    <w:rsid w:val="0092008C"/>
    <w:rsid w:val="00953623"/>
    <w:rsid w:val="009B31C3"/>
    <w:rsid w:val="00A43EF4"/>
    <w:rsid w:val="00A65CD8"/>
    <w:rsid w:val="00AE3A29"/>
    <w:rsid w:val="00B276A1"/>
    <w:rsid w:val="00B55E7D"/>
    <w:rsid w:val="00B7263C"/>
    <w:rsid w:val="00B72B64"/>
    <w:rsid w:val="00B968B8"/>
    <w:rsid w:val="00BB4D4B"/>
    <w:rsid w:val="00BC0905"/>
    <w:rsid w:val="00BD0927"/>
    <w:rsid w:val="00BE18A4"/>
    <w:rsid w:val="00C2441F"/>
    <w:rsid w:val="00C80AFB"/>
    <w:rsid w:val="00CE711D"/>
    <w:rsid w:val="00D0358D"/>
    <w:rsid w:val="00D532C2"/>
    <w:rsid w:val="00D565F8"/>
    <w:rsid w:val="00E1621E"/>
    <w:rsid w:val="00EA44A0"/>
    <w:rsid w:val="00ED72A3"/>
    <w:rsid w:val="00EF790C"/>
    <w:rsid w:val="00F97D22"/>
    <w:rsid w:val="00FB0C7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C920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1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2516F9"/>
    <w:rPr>
      <w:i/>
      <w:iCs/>
    </w:rPr>
  </w:style>
  <w:style w:type="paragraph" w:styleId="ListParagraph">
    <w:name w:val="List Paragraph"/>
    <w:basedOn w:val="Normal"/>
    <w:uiPriority w:val="34"/>
    <w:qFormat/>
    <w:rsid w:val="00EF790C"/>
    <w:pPr>
      <w:ind w:left="720"/>
      <w:contextualSpacing/>
    </w:pPr>
  </w:style>
  <w:style w:type="paragraph" w:customStyle="1" w:styleId="Default">
    <w:name w:val="Default"/>
    <w:rsid w:val="0090375C"/>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A43EF4"/>
    <w:pPr>
      <w:spacing w:after="240" w:line="360" w:lineRule="atLeast"/>
    </w:pPr>
    <w:rPr>
      <w:rFonts w:ascii="Times New Roman" w:eastAsia="Times New Roman" w:hAnsi="Times New Roman" w:cs="Times New Roman"/>
      <w:color w:val="666666"/>
      <w:sz w:val="24"/>
      <w:szCs w:val="24"/>
      <w:lang w:eastAsia="en-NZ"/>
    </w:rPr>
  </w:style>
  <w:style w:type="paragraph" w:styleId="Header">
    <w:name w:val="header"/>
    <w:basedOn w:val="Normal"/>
    <w:link w:val="HeaderChar"/>
    <w:uiPriority w:val="99"/>
    <w:unhideWhenUsed/>
    <w:rsid w:val="00BE1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18A4"/>
  </w:style>
  <w:style w:type="paragraph" w:styleId="Footer">
    <w:name w:val="footer"/>
    <w:basedOn w:val="Normal"/>
    <w:link w:val="FooterChar"/>
    <w:uiPriority w:val="99"/>
    <w:unhideWhenUsed/>
    <w:rsid w:val="00BE1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8A4"/>
  </w:style>
  <w:style w:type="paragraph" w:styleId="BalloonText">
    <w:name w:val="Balloon Text"/>
    <w:basedOn w:val="Normal"/>
    <w:link w:val="BalloonTextChar"/>
    <w:uiPriority w:val="99"/>
    <w:semiHidden/>
    <w:unhideWhenUsed/>
    <w:rsid w:val="001451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193"/>
    <w:rPr>
      <w:rFonts w:ascii="Segoe UI" w:hAnsi="Segoe UI" w:cs="Segoe UI"/>
      <w:sz w:val="18"/>
      <w:szCs w:val="18"/>
    </w:rPr>
  </w:style>
  <w:style w:type="character" w:styleId="CommentReference">
    <w:name w:val="annotation reference"/>
    <w:basedOn w:val="DefaultParagraphFont"/>
    <w:uiPriority w:val="99"/>
    <w:semiHidden/>
    <w:unhideWhenUsed/>
    <w:rsid w:val="00F97D22"/>
    <w:rPr>
      <w:sz w:val="16"/>
      <w:szCs w:val="16"/>
    </w:rPr>
  </w:style>
  <w:style w:type="paragraph" w:styleId="CommentText">
    <w:name w:val="annotation text"/>
    <w:basedOn w:val="Normal"/>
    <w:link w:val="CommentTextChar"/>
    <w:uiPriority w:val="99"/>
    <w:semiHidden/>
    <w:unhideWhenUsed/>
    <w:rsid w:val="00F97D22"/>
    <w:pPr>
      <w:spacing w:line="240" w:lineRule="auto"/>
    </w:pPr>
    <w:rPr>
      <w:sz w:val="20"/>
      <w:szCs w:val="20"/>
    </w:rPr>
  </w:style>
  <w:style w:type="character" w:customStyle="1" w:styleId="CommentTextChar">
    <w:name w:val="Comment Text Char"/>
    <w:basedOn w:val="DefaultParagraphFont"/>
    <w:link w:val="CommentText"/>
    <w:uiPriority w:val="99"/>
    <w:semiHidden/>
    <w:rsid w:val="00F97D22"/>
    <w:rPr>
      <w:sz w:val="20"/>
      <w:szCs w:val="20"/>
    </w:rPr>
  </w:style>
  <w:style w:type="paragraph" w:styleId="CommentSubject">
    <w:name w:val="annotation subject"/>
    <w:basedOn w:val="CommentText"/>
    <w:next w:val="CommentText"/>
    <w:link w:val="CommentSubjectChar"/>
    <w:uiPriority w:val="99"/>
    <w:semiHidden/>
    <w:unhideWhenUsed/>
    <w:rsid w:val="00F97D22"/>
    <w:rPr>
      <w:b/>
      <w:bCs/>
    </w:rPr>
  </w:style>
  <w:style w:type="character" w:customStyle="1" w:styleId="CommentSubjectChar">
    <w:name w:val="Comment Subject Char"/>
    <w:basedOn w:val="CommentTextChar"/>
    <w:link w:val="CommentSubject"/>
    <w:uiPriority w:val="99"/>
    <w:semiHidden/>
    <w:rsid w:val="00F97D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76906">
      <w:bodyDiv w:val="1"/>
      <w:marLeft w:val="0"/>
      <w:marRight w:val="0"/>
      <w:marTop w:val="0"/>
      <w:marBottom w:val="0"/>
      <w:divBdr>
        <w:top w:val="none" w:sz="0" w:space="0" w:color="auto"/>
        <w:left w:val="none" w:sz="0" w:space="0" w:color="auto"/>
        <w:bottom w:val="none" w:sz="0" w:space="0" w:color="auto"/>
        <w:right w:val="none" w:sz="0" w:space="0" w:color="auto"/>
      </w:divBdr>
      <w:divsChild>
        <w:div w:id="986083433">
          <w:marLeft w:val="0"/>
          <w:marRight w:val="0"/>
          <w:marTop w:val="0"/>
          <w:marBottom w:val="0"/>
          <w:divBdr>
            <w:top w:val="none" w:sz="0" w:space="0" w:color="auto"/>
            <w:left w:val="none" w:sz="0" w:space="0" w:color="auto"/>
            <w:bottom w:val="none" w:sz="0" w:space="0" w:color="auto"/>
            <w:right w:val="none" w:sz="0" w:space="0" w:color="auto"/>
          </w:divBdr>
          <w:divsChild>
            <w:div w:id="875852479">
              <w:marLeft w:val="0"/>
              <w:marRight w:val="0"/>
              <w:marTop w:val="0"/>
              <w:marBottom w:val="0"/>
              <w:divBdr>
                <w:top w:val="none" w:sz="0" w:space="0" w:color="auto"/>
                <w:left w:val="none" w:sz="0" w:space="0" w:color="auto"/>
                <w:bottom w:val="none" w:sz="0" w:space="0" w:color="auto"/>
                <w:right w:val="none" w:sz="0" w:space="0" w:color="auto"/>
              </w:divBdr>
              <w:divsChild>
                <w:div w:id="367144377">
                  <w:marLeft w:val="0"/>
                  <w:marRight w:val="0"/>
                  <w:marTop w:val="0"/>
                  <w:marBottom w:val="0"/>
                  <w:divBdr>
                    <w:top w:val="none" w:sz="0" w:space="0" w:color="auto"/>
                    <w:left w:val="none" w:sz="0" w:space="0" w:color="auto"/>
                    <w:bottom w:val="none" w:sz="0" w:space="0" w:color="auto"/>
                    <w:right w:val="none" w:sz="0" w:space="0" w:color="auto"/>
                  </w:divBdr>
                  <w:divsChild>
                    <w:div w:id="1042250154">
                      <w:marLeft w:val="0"/>
                      <w:marRight w:val="0"/>
                      <w:marTop w:val="0"/>
                      <w:marBottom w:val="0"/>
                      <w:divBdr>
                        <w:top w:val="none" w:sz="0" w:space="0" w:color="auto"/>
                        <w:left w:val="none" w:sz="0" w:space="0" w:color="auto"/>
                        <w:bottom w:val="none" w:sz="0" w:space="0" w:color="auto"/>
                        <w:right w:val="none" w:sz="0" w:space="0" w:color="auto"/>
                      </w:divBdr>
                      <w:divsChild>
                        <w:div w:id="1239555155">
                          <w:marLeft w:val="0"/>
                          <w:marRight w:val="0"/>
                          <w:marTop w:val="0"/>
                          <w:marBottom w:val="0"/>
                          <w:divBdr>
                            <w:top w:val="none" w:sz="0" w:space="0" w:color="auto"/>
                            <w:left w:val="none" w:sz="0" w:space="0" w:color="auto"/>
                            <w:bottom w:val="none" w:sz="0" w:space="0" w:color="auto"/>
                            <w:right w:val="none" w:sz="0" w:space="0" w:color="auto"/>
                          </w:divBdr>
                          <w:divsChild>
                            <w:div w:id="1924488290">
                              <w:marLeft w:val="0"/>
                              <w:marRight w:val="0"/>
                              <w:marTop w:val="0"/>
                              <w:marBottom w:val="0"/>
                              <w:divBdr>
                                <w:top w:val="none" w:sz="0" w:space="0" w:color="auto"/>
                                <w:left w:val="none" w:sz="0" w:space="0" w:color="auto"/>
                                <w:bottom w:val="none" w:sz="0" w:space="0" w:color="auto"/>
                                <w:right w:val="none" w:sz="0" w:space="0" w:color="auto"/>
                              </w:divBdr>
                              <w:divsChild>
                                <w:div w:id="52470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8E3C1FD641234AB1A5CB2CEAE00845" ma:contentTypeVersion="14" ma:contentTypeDescription="Create a new document." ma:contentTypeScope="" ma:versionID="ed476682db1bebb429bbbd1e2ea4f35c">
  <xsd:schema xmlns:xsd="http://www.w3.org/2001/XMLSchema" xmlns:xs="http://www.w3.org/2001/XMLSchema" xmlns:p="http://schemas.microsoft.com/office/2006/metadata/properties" xmlns:ns2="9a6dddea-e7c5-4176-a588-f293d54c88fe" xmlns:ns3="227b3a64-cf4d-44df-b7b4-2b44244be1a1" targetNamespace="http://schemas.microsoft.com/office/2006/metadata/properties" ma:root="true" ma:fieldsID="d3e1267da0f528f6d00b3070e34e920c" ns2:_="" ns3:_="">
    <xsd:import namespace="9a6dddea-e7c5-4176-a588-f293d54c88fe"/>
    <xsd:import namespace="227b3a64-cf4d-44df-b7b4-2b44244be1a1"/>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6dddea-e7c5-4176-a588-f293d54c88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7b3a64-cf4d-44df-b7b4-2b44244be1a1"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cd809ab1-7441-4248-9bbf-9af3afa2ec6b}" ma:internalName="TaxCatchAll" ma:showField="CatchAllData" ma:web="227b3a64-cf4d-44df-b7b4-2b44244be1a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3"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227b3a64-cf4d-44df-b7b4-2b44244be1a1">
      <Terms xmlns="http://schemas.microsoft.com/office/infopath/2007/PartnerControls"/>
    </TaxKeywordTaxHTField>
    <TaxCatchAll xmlns="227b3a64-cf4d-44df-b7b4-2b44244be1a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0C73E-A0B5-4BD6-A4A0-A847B84BC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6dddea-e7c5-4176-a588-f293d54c88fe"/>
    <ds:schemaRef ds:uri="227b3a64-cf4d-44df-b7b4-2b44244be1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C8ED33-E4DF-4F61-AD25-0CEDEE2843C2}">
  <ds:schemaRefs>
    <ds:schemaRef ds:uri="http://schemas.microsoft.com/sharepoint/v3/contenttype/forms"/>
  </ds:schemaRefs>
</ds:datastoreItem>
</file>

<file path=customXml/itemProps3.xml><?xml version="1.0" encoding="utf-8"?>
<ds:datastoreItem xmlns:ds="http://schemas.openxmlformats.org/officeDocument/2006/customXml" ds:itemID="{145684CC-5207-4FE6-BD2B-29E2E707E676}">
  <ds:schemaRefs>
    <ds:schemaRef ds:uri="http://schemas.microsoft.com/office/2006/metadata/properties"/>
    <ds:schemaRef ds:uri="http://schemas.microsoft.com/office/infopath/2007/PartnerControls"/>
    <ds:schemaRef ds:uri="227b3a64-cf4d-44df-b7b4-2b44244be1a1"/>
  </ds:schemaRefs>
</ds:datastoreItem>
</file>

<file path=customXml/itemProps4.xml><?xml version="1.0" encoding="utf-8"?>
<ds:datastoreItem xmlns:ds="http://schemas.openxmlformats.org/officeDocument/2006/customXml" ds:itemID="{61A6320C-7FFD-46F1-B547-0632E2F53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1648</Words>
  <Characters>9397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2019-10-31T20:44:00Z</dcterms:created>
  <dcterms:modified xsi:type="dcterms:W3CDTF">2019-10-31T20:44:00Z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0x010100248E3C1FD641234AB1A5CB2CEAE00845</vt:lpwstr>
  </property>
  <property fmtid="{D5CDD505-2E9C-101B-9397-08002B2CF9AE}" pid="3" name="TaxKeyword">
    <vt:lpwstr/>
  </property>
</Properties>
</file>